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2053A" w14:textId="05BE87B7" w:rsidR="005251C4" w:rsidRPr="00F95CD6" w:rsidRDefault="005251C4" w:rsidP="005251C4">
      <w:pPr>
        <w:tabs>
          <w:tab w:val="left" w:pos="531"/>
        </w:tabs>
        <w:spacing w:after="0"/>
        <w:jc w:val="center"/>
        <w:rPr>
          <w:rFonts w:asciiTheme="majorHAnsi" w:hAnsiTheme="majorHAnsi" w:cstheme="majorHAnsi"/>
          <w:color w:val="2F5496" w:themeColor="accent1" w:themeShade="BF"/>
          <w:sz w:val="32"/>
          <w:szCs w:val="32"/>
          <w:lang w:val="bs-Latn-BA" w:eastAsia="en-GB"/>
        </w:rPr>
      </w:pPr>
      <w:bookmarkStart w:id="0" w:name="_GoBack"/>
      <w:bookmarkEnd w:id="0"/>
      <w:r w:rsidRPr="00F95CD6">
        <w:rPr>
          <w:rFonts w:asciiTheme="majorHAnsi" w:hAnsiTheme="majorHAnsi" w:cstheme="majorHAnsi"/>
          <w:color w:val="2F5496" w:themeColor="accent1" w:themeShade="BF"/>
          <w:sz w:val="32"/>
          <w:szCs w:val="32"/>
          <w:lang w:val="bs-Latn-BA" w:eastAsia="en-GB"/>
        </w:rPr>
        <w:t xml:space="preserve">Strategija razvoja </w:t>
      </w:r>
      <w:r w:rsidR="005A31D0">
        <w:rPr>
          <w:rFonts w:asciiTheme="majorHAnsi" w:hAnsiTheme="majorHAnsi" w:cstheme="majorHAnsi"/>
          <w:color w:val="2F5496" w:themeColor="accent1" w:themeShade="BF"/>
          <w:sz w:val="32"/>
          <w:szCs w:val="32"/>
          <w:lang w:val="bs-Latn-BA" w:eastAsia="en-GB"/>
        </w:rPr>
        <w:t>turizma Tuzlanskog kantona</w:t>
      </w:r>
      <w:r w:rsidRPr="00F95CD6">
        <w:rPr>
          <w:rFonts w:asciiTheme="majorHAnsi" w:hAnsiTheme="majorHAnsi" w:cstheme="majorHAnsi"/>
          <w:color w:val="2F5496" w:themeColor="accent1" w:themeShade="BF"/>
          <w:sz w:val="32"/>
          <w:szCs w:val="32"/>
          <w:lang w:val="bs-Latn-BA" w:eastAsia="en-GB"/>
        </w:rPr>
        <w:t xml:space="preserve"> za period </w:t>
      </w:r>
    </w:p>
    <w:p w14:paraId="4CA8CDB4" w14:textId="183EDBE4" w:rsidR="005251C4" w:rsidRPr="00F95CD6" w:rsidRDefault="005251C4" w:rsidP="008F0340">
      <w:pPr>
        <w:tabs>
          <w:tab w:val="left" w:pos="531"/>
        </w:tabs>
        <w:spacing w:after="0"/>
        <w:jc w:val="center"/>
        <w:rPr>
          <w:rFonts w:asciiTheme="majorHAnsi" w:hAnsiTheme="majorHAnsi" w:cstheme="majorHAnsi"/>
          <w:color w:val="2F5496" w:themeColor="accent1" w:themeShade="BF"/>
          <w:sz w:val="32"/>
          <w:szCs w:val="32"/>
          <w:lang w:val="bs-Latn-BA" w:eastAsia="en-GB"/>
        </w:rPr>
      </w:pPr>
      <w:r w:rsidRPr="00F95CD6">
        <w:rPr>
          <w:rFonts w:asciiTheme="majorHAnsi" w:hAnsiTheme="majorHAnsi" w:cstheme="majorHAnsi"/>
          <w:color w:val="2F5496" w:themeColor="accent1" w:themeShade="BF"/>
          <w:sz w:val="32"/>
          <w:szCs w:val="32"/>
          <w:lang w:val="bs-Latn-BA" w:eastAsia="en-GB"/>
        </w:rPr>
        <w:t>od 2022. do 2027 godine.</w:t>
      </w:r>
    </w:p>
    <w:p w14:paraId="3E8676E5" w14:textId="77777777" w:rsidR="00F95CD6" w:rsidRPr="00F95CD6" w:rsidRDefault="00F95CD6" w:rsidP="008F0340">
      <w:pPr>
        <w:tabs>
          <w:tab w:val="left" w:pos="531"/>
        </w:tabs>
        <w:spacing w:after="0"/>
        <w:jc w:val="center"/>
        <w:rPr>
          <w:rFonts w:asciiTheme="majorHAnsi" w:hAnsiTheme="majorHAnsi" w:cstheme="majorHAnsi"/>
          <w:color w:val="2F5496" w:themeColor="accent1" w:themeShade="BF"/>
          <w:sz w:val="32"/>
          <w:szCs w:val="32"/>
          <w:lang w:val="bs-Latn-BA" w:eastAsia="en-GB"/>
        </w:rPr>
      </w:pPr>
    </w:p>
    <w:p w14:paraId="7626FC22" w14:textId="610D4EF2" w:rsidR="00F95CD6" w:rsidRPr="00A11C5F" w:rsidRDefault="00F95CD6" w:rsidP="00DC4ADD">
      <w:pPr>
        <w:shd w:val="clear" w:color="auto" w:fill="2E74B5" w:themeFill="accent5" w:themeFillShade="BF"/>
        <w:tabs>
          <w:tab w:val="left" w:pos="531"/>
        </w:tabs>
        <w:spacing w:after="0"/>
        <w:jc w:val="center"/>
        <w:rPr>
          <w:rFonts w:asciiTheme="majorHAnsi" w:hAnsiTheme="majorHAnsi" w:cstheme="majorHAnsi"/>
          <w:b/>
          <w:bCs/>
          <w:color w:val="FFFFFF" w:themeColor="background1"/>
          <w:sz w:val="28"/>
          <w:szCs w:val="28"/>
          <w:lang w:val="bs-Latn-BA" w:eastAsia="en-GB"/>
        </w:rPr>
      </w:pPr>
      <w:r w:rsidRPr="00A11C5F">
        <w:rPr>
          <w:rFonts w:asciiTheme="majorHAnsi" w:hAnsiTheme="majorHAnsi" w:cstheme="majorHAnsi"/>
          <w:b/>
          <w:bCs/>
          <w:color w:val="FFFFFF" w:themeColor="background1"/>
          <w:sz w:val="28"/>
          <w:szCs w:val="28"/>
          <w:lang w:val="bs-Latn-BA" w:eastAsia="en-GB"/>
        </w:rPr>
        <w:t xml:space="preserve">OBRAZAC ZA PRIJEDLOGE ZA </w:t>
      </w:r>
      <w:r w:rsidR="00DC4ADD">
        <w:rPr>
          <w:rFonts w:asciiTheme="majorHAnsi" w:hAnsiTheme="majorHAnsi" w:cstheme="majorHAnsi"/>
          <w:b/>
          <w:bCs/>
          <w:color w:val="FFFFFF" w:themeColor="background1"/>
          <w:sz w:val="28"/>
          <w:szCs w:val="28"/>
          <w:lang w:val="bs-Latn-BA" w:eastAsia="en-GB"/>
        </w:rPr>
        <w:t xml:space="preserve"> STRATEŠKE PROJEKTE</w:t>
      </w:r>
    </w:p>
    <w:p w14:paraId="43064AED" w14:textId="3B005EBA" w:rsidR="00F86CA5" w:rsidRPr="00F95CD6" w:rsidRDefault="00F86CA5" w:rsidP="008F0340">
      <w:pPr>
        <w:tabs>
          <w:tab w:val="left" w:pos="531"/>
        </w:tabs>
        <w:spacing w:after="0"/>
        <w:jc w:val="center"/>
        <w:rPr>
          <w:rFonts w:asciiTheme="majorHAnsi" w:hAnsiTheme="majorHAnsi" w:cstheme="majorHAnsi"/>
          <w:color w:val="2F5496" w:themeColor="accent1" w:themeShade="BF"/>
          <w:sz w:val="32"/>
          <w:szCs w:val="32"/>
          <w:lang w:val="bs-Latn-BA" w:eastAsia="en-GB"/>
        </w:rPr>
      </w:pPr>
    </w:p>
    <w:tbl>
      <w:tblPr>
        <w:tblStyle w:val="Tablicareetke4-isticanje5"/>
        <w:tblW w:w="9640" w:type="dxa"/>
        <w:tblLook w:val="04A0" w:firstRow="1" w:lastRow="0" w:firstColumn="1" w:lastColumn="0" w:noHBand="0" w:noVBand="1"/>
      </w:tblPr>
      <w:tblGrid>
        <w:gridCol w:w="3034"/>
        <w:gridCol w:w="6606"/>
      </w:tblGrid>
      <w:tr w:rsidR="00187FBF" w:rsidRPr="00F95CD6" w14:paraId="5A7658F3" w14:textId="77777777" w:rsidTr="00187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EEC0B43" w14:textId="61CB8D55" w:rsidR="00187FBF" w:rsidRPr="00F95CD6" w:rsidRDefault="00187FBF" w:rsidP="00187FBF">
            <w:pPr>
              <w:rPr>
                <w:rFonts w:asciiTheme="majorHAnsi" w:eastAsia="Calibri" w:hAnsiTheme="majorHAnsi" w:cstheme="majorHAnsi"/>
                <w:i/>
                <w:iCs/>
                <w:color w:val="FFFFFF"/>
                <w:lang w:val="bs-Latn-BA"/>
              </w:rPr>
            </w:pPr>
            <w:r w:rsidRPr="00F95CD6">
              <w:rPr>
                <w:rFonts w:asciiTheme="majorHAnsi" w:eastAsia="Calibri" w:hAnsiTheme="majorHAnsi" w:cstheme="majorHAnsi"/>
                <w:color w:val="FFFFFF"/>
                <w:lang w:val="bs-Latn-BA"/>
              </w:rPr>
              <w:t xml:space="preserve">IME I PREZIME:  </w:t>
            </w:r>
          </w:p>
        </w:tc>
        <w:tc>
          <w:tcPr>
            <w:tcW w:w="6662" w:type="dxa"/>
          </w:tcPr>
          <w:p w14:paraId="2078EF05" w14:textId="77777777" w:rsidR="00187FBF" w:rsidRPr="00F95CD6" w:rsidRDefault="00187FBF" w:rsidP="00187FBF">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color w:val="FFFFFF"/>
                <w:sz w:val="28"/>
                <w:szCs w:val="28"/>
                <w:lang w:val="bs-Latn-BA"/>
              </w:rPr>
            </w:pPr>
          </w:p>
        </w:tc>
      </w:tr>
      <w:tr w:rsidR="00187FBF" w:rsidRPr="00F95CD6" w14:paraId="2A72358E" w14:textId="77777777" w:rsidTr="0018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093F3CB8" w14:textId="77777777" w:rsidR="00187FBF" w:rsidRPr="00F95CD6" w:rsidRDefault="00187FBF" w:rsidP="00187FBF">
            <w:pPr>
              <w:rPr>
                <w:rFonts w:asciiTheme="majorHAnsi" w:eastAsia="Calibri" w:hAnsiTheme="majorHAnsi" w:cstheme="majorHAnsi"/>
                <w:i/>
                <w:iCs/>
                <w:lang w:val="bs-Latn-BA"/>
              </w:rPr>
            </w:pPr>
            <w:r w:rsidRPr="00F95CD6">
              <w:rPr>
                <w:rFonts w:asciiTheme="majorHAnsi" w:eastAsia="Calibri" w:hAnsiTheme="majorHAnsi" w:cstheme="majorHAnsi"/>
                <w:lang w:val="bs-Latn-BA"/>
              </w:rPr>
              <w:t>Radno mjesto</w:t>
            </w:r>
          </w:p>
        </w:tc>
        <w:tc>
          <w:tcPr>
            <w:tcW w:w="6662" w:type="dxa"/>
          </w:tcPr>
          <w:p w14:paraId="5A091B89" w14:textId="11CF16DB" w:rsidR="00187FBF" w:rsidRPr="00F95CD6" w:rsidRDefault="00187FBF" w:rsidP="00187FB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8"/>
                <w:szCs w:val="28"/>
                <w:lang w:val="bs-Latn-BA"/>
              </w:rPr>
            </w:pPr>
          </w:p>
        </w:tc>
      </w:tr>
      <w:tr w:rsidR="00F95CD6" w:rsidRPr="00F95CD6" w14:paraId="1AA2BC1B" w14:textId="77777777" w:rsidTr="00187FBF">
        <w:tc>
          <w:tcPr>
            <w:cnfStyle w:val="001000000000" w:firstRow="0" w:lastRow="0" w:firstColumn="1" w:lastColumn="0" w:oddVBand="0" w:evenVBand="0" w:oddHBand="0" w:evenHBand="0" w:firstRowFirstColumn="0" w:firstRowLastColumn="0" w:lastRowFirstColumn="0" w:lastRowLastColumn="0"/>
            <w:tcW w:w="2978" w:type="dxa"/>
          </w:tcPr>
          <w:p w14:paraId="7A7D59CE" w14:textId="564BD073" w:rsidR="00F95CD6" w:rsidRPr="00F95CD6" w:rsidRDefault="00F95CD6" w:rsidP="00F95CD6">
            <w:pPr>
              <w:rPr>
                <w:rFonts w:asciiTheme="majorHAnsi" w:eastAsia="Calibri" w:hAnsiTheme="majorHAnsi" w:cstheme="majorHAnsi"/>
                <w:i/>
                <w:iCs/>
                <w:lang w:val="bs-Latn-BA"/>
              </w:rPr>
            </w:pPr>
            <w:r w:rsidRPr="00F95CD6">
              <w:rPr>
                <w:rFonts w:asciiTheme="majorHAnsi" w:hAnsiTheme="majorHAnsi" w:cstheme="majorHAnsi"/>
                <w:lang w:val="bs-Latn-BA"/>
              </w:rPr>
              <w:t>Naziv subjekta/organizacije/institucije</w:t>
            </w:r>
          </w:p>
        </w:tc>
        <w:tc>
          <w:tcPr>
            <w:tcW w:w="6662" w:type="dxa"/>
          </w:tcPr>
          <w:p w14:paraId="35EB3025" w14:textId="50AC88E1" w:rsidR="00F95CD6" w:rsidRPr="00F95CD6" w:rsidRDefault="00F95CD6" w:rsidP="00F95CD6">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8"/>
                <w:szCs w:val="28"/>
                <w:lang w:val="bs-Latn-BA"/>
              </w:rPr>
            </w:pPr>
          </w:p>
        </w:tc>
      </w:tr>
      <w:tr w:rsidR="00187FBF" w:rsidRPr="00F95CD6" w14:paraId="682A61F3" w14:textId="77777777" w:rsidTr="0018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0172847" w14:textId="77777777" w:rsidR="00187FBF" w:rsidRPr="00F95CD6" w:rsidRDefault="00187FBF" w:rsidP="00187FBF">
            <w:pPr>
              <w:rPr>
                <w:rFonts w:asciiTheme="majorHAnsi" w:eastAsia="Calibri" w:hAnsiTheme="majorHAnsi" w:cstheme="majorHAnsi"/>
                <w:i/>
                <w:iCs/>
                <w:lang w:val="bs-Latn-BA"/>
              </w:rPr>
            </w:pPr>
            <w:r w:rsidRPr="00F95CD6">
              <w:rPr>
                <w:rFonts w:asciiTheme="majorHAnsi" w:eastAsia="Calibri" w:hAnsiTheme="majorHAnsi" w:cstheme="majorHAnsi"/>
                <w:lang w:val="bs-Latn-BA"/>
              </w:rPr>
              <w:t>E-mail</w:t>
            </w:r>
          </w:p>
        </w:tc>
        <w:tc>
          <w:tcPr>
            <w:tcW w:w="6662" w:type="dxa"/>
          </w:tcPr>
          <w:p w14:paraId="43712F24" w14:textId="060BF7DC" w:rsidR="00187FBF" w:rsidRPr="00F95CD6" w:rsidRDefault="00187FBF" w:rsidP="00187FB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8"/>
                <w:szCs w:val="28"/>
                <w:lang w:val="bs-Latn-BA"/>
              </w:rPr>
            </w:pPr>
          </w:p>
        </w:tc>
      </w:tr>
      <w:tr w:rsidR="00187FBF" w:rsidRPr="00F95CD6" w14:paraId="397C7895" w14:textId="77777777" w:rsidTr="00187FBF">
        <w:tc>
          <w:tcPr>
            <w:cnfStyle w:val="001000000000" w:firstRow="0" w:lastRow="0" w:firstColumn="1" w:lastColumn="0" w:oddVBand="0" w:evenVBand="0" w:oddHBand="0" w:evenHBand="0" w:firstRowFirstColumn="0" w:firstRowLastColumn="0" w:lastRowFirstColumn="0" w:lastRowLastColumn="0"/>
            <w:tcW w:w="2978" w:type="dxa"/>
          </w:tcPr>
          <w:p w14:paraId="3CFC9A5E" w14:textId="77777777" w:rsidR="00187FBF" w:rsidRPr="00F95CD6" w:rsidRDefault="00187FBF" w:rsidP="00187FBF">
            <w:pPr>
              <w:rPr>
                <w:rFonts w:asciiTheme="majorHAnsi" w:eastAsia="Calibri" w:hAnsiTheme="majorHAnsi" w:cstheme="majorHAnsi"/>
                <w:i/>
                <w:iCs/>
                <w:lang w:val="bs-Latn-BA"/>
              </w:rPr>
            </w:pPr>
            <w:r w:rsidRPr="00F95CD6">
              <w:rPr>
                <w:rFonts w:asciiTheme="majorHAnsi" w:eastAsia="Calibri" w:hAnsiTheme="majorHAnsi" w:cstheme="majorHAnsi"/>
                <w:lang w:val="bs-Latn-BA"/>
              </w:rPr>
              <w:t>Telefon</w:t>
            </w:r>
          </w:p>
        </w:tc>
        <w:tc>
          <w:tcPr>
            <w:tcW w:w="6662" w:type="dxa"/>
          </w:tcPr>
          <w:p w14:paraId="41BAE1FD" w14:textId="1430576A" w:rsidR="00187FBF" w:rsidRPr="00F95CD6" w:rsidRDefault="00187FBF" w:rsidP="00187FB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8"/>
                <w:szCs w:val="28"/>
                <w:lang w:val="bs-Latn-BA"/>
              </w:rPr>
            </w:pPr>
          </w:p>
        </w:tc>
      </w:tr>
      <w:tr w:rsidR="00187FBF" w:rsidRPr="00F95CD6" w14:paraId="70F3993F" w14:textId="77777777" w:rsidTr="0018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72AC584" w14:textId="77777777" w:rsidR="00187FBF" w:rsidRPr="00F95CD6" w:rsidRDefault="00187FBF" w:rsidP="00187FBF">
            <w:pPr>
              <w:rPr>
                <w:rFonts w:asciiTheme="majorHAnsi" w:eastAsia="Calibri" w:hAnsiTheme="majorHAnsi" w:cstheme="majorHAnsi"/>
                <w:i/>
                <w:iCs/>
                <w:lang w:val="bs-Latn-BA"/>
              </w:rPr>
            </w:pPr>
            <w:r w:rsidRPr="00F95CD6">
              <w:rPr>
                <w:rFonts w:asciiTheme="majorHAnsi" w:eastAsia="Calibri" w:hAnsiTheme="majorHAnsi" w:cstheme="majorHAnsi"/>
                <w:lang w:val="bs-Latn-BA"/>
              </w:rPr>
              <w:t>Datum</w:t>
            </w:r>
          </w:p>
        </w:tc>
        <w:tc>
          <w:tcPr>
            <w:tcW w:w="6662" w:type="dxa"/>
          </w:tcPr>
          <w:p w14:paraId="3EE84D8B" w14:textId="1D964298" w:rsidR="00187FBF" w:rsidRPr="00F95CD6" w:rsidRDefault="00187FBF" w:rsidP="00187FB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8"/>
                <w:szCs w:val="28"/>
                <w:lang w:val="bs-Latn-BA"/>
              </w:rPr>
            </w:pPr>
          </w:p>
        </w:tc>
      </w:tr>
    </w:tbl>
    <w:p w14:paraId="0C56B46E" w14:textId="77777777" w:rsidR="00A11C5F" w:rsidRDefault="00A11C5F" w:rsidP="000C0518">
      <w:pPr>
        <w:spacing w:after="0" w:line="240" w:lineRule="auto"/>
        <w:jc w:val="center"/>
        <w:rPr>
          <w:rFonts w:asciiTheme="majorHAnsi" w:eastAsia="Times New Roman" w:hAnsiTheme="majorHAnsi" w:cstheme="majorHAnsi"/>
          <w:b/>
          <w:bCs/>
          <w:spacing w:val="5"/>
          <w:kern w:val="28"/>
          <w:sz w:val="32"/>
          <w:szCs w:val="32"/>
          <w:lang w:val="bs-Latn-BA" w:eastAsia="hr-HR"/>
        </w:rPr>
      </w:pPr>
    </w:p>
    <w:p w14:paraId="29D4532F" w14:textId="057C2DEE" w:rsidR="000C0518" w:rsidRPr="00F95CD6" w:rsidRDefault="000C0518" w:rsidP="000C0518">
      <w:pPr>
        <w:spacing w:after="0" w:line="240" w:lineRule="auto"/>
        <w:jc w:val="center"/>
        <w:rPr>
          <w:rFonts w:asciiTheme="majorHAnsi" w:hAnsiTheme="majorHAnsi" w:cstheme="majorHAnsi"/>
          <w:b/>
          <w:bCs/>
          <w:lang w:val="bs-Latn-BA"/>
        </w:rPr>
      </w:pPr>
      <w:r w:rsidRPr="00F95CD6">
        <w:rPr>
          <w:rFonts w:asciiTheme="majorHAnsi" w:eastAsia="Times New Roman" w:hAnsiTheme="majorHAnsi" w:cstheme="majorHAnsi"/>
          <w:b/>
          <w:bCs/>
          <w:spacing w:val="5"/>
          <w:kern w:val="28"/>
          <w:sz w:val="32"/>
          <w:szCs w:val="32"/>
          <w:lang w:val="bs-Latn-BA" w:eastAsia="hr-HR"/>
        </w:rPr>
        <w:t xml:space="preserve">PRIJEDLOG </w:t>
      </w:r>
      <w:r w:rsidR="00DC4ADD">
        <w:rPr>
          <w:rFonts w:asciiTheme="majorHAnsi" w:eastAsia="Times New Roman" w:hAnsiTheme="majorHAnsi" w:cstheme="majorHAnsi"/>
          <w:b/>
          <w:bCs/>
          <w:spacing w:val="5"/>
          <w:kern w:val="28"/>
          <w:sz w:val="32"/>
          <w:szCs w:val="32"/>
          <w:lang w:val="bs-Latn-BA" w:eastAsia="hr-HR"/>
        </w:rPr>
        <w:t>STRATEŠKOG PROJEKTA</w:t>
      </w:r>
    </w:p>
    <w:p w14:paraId="7489271A" w14:textId="6D4D95A4" w:rsidR="004F3DF9" w:rsidRPr="00F95CD6" w:rsidRDefault="004F3DF9" w:rsidP="009E3DD7">
      <w:pPr>
        <w:spacing w:after="0" w:line="240" w:lineRule="auto"/>
        <w:rPr>
          <w:rFonts w:asciiTheme="majorHAnsi" w:hAnsiTheme="majorHAnsi" w:cstheme="majorHAnsi"/>
          <w:lang w:val="bs-Latn-BA"/>
        </w:rPr>
      </w:pPr>
    </w:p>
    <w:tbl>
      <w:tblPr>
        <w:tblStyle w:val="Tablicareetke4-isticanje5"/>
        <w:tblW w:w="9640" w:type="dxa"/>
        <w:tblLook w:val="04A0" w:firstRow="1" w:lastRow="0" w:firstColumn="1" w:lastColumn="0" w:noHBand="0" w:noVBand="1"/>
      </w:tblPr>
      <w:tblGrid>
        <w:gridCol w:w="2689"/>
        <w:gridCol w:w="3836"/>
        <w:gridCol w:w="3115"/>
      </w:tblGrid>
      <w:tr w:rsidR="000C0518" w:rsidRPr="00F95CD6" w14:paraId="7D50C1E3" w14:textId="77777777" w:rsidTr="00F86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5" w:type="dxa"/>
            <w:gridSpan w:val="2"/>
          </w:tcPr>
          <w:p w14:paraId="36C34343" w14:textId="40098B1B" w:rsidR="000C0518" w:rsidRPr="00F95CD6" w:rsidRDefault="00DC4ADD" w:rsidP="00753673">
            <w:pPr>
              <w:rPr>
                <w:rFonts w:asciiTheme="majorHAnsi" w:hAnsiTheme="majorHAnsi" w:cstheme="majorHAnsi"/>
                <w:sz w:val="24"/>
                <w:szCs w:val="24"/>
                <w:lang w:val="bs-Latn-BA"/>
              </w:rPr>
            </w:pPr>
            <w:r>
              <w:rPr>
                <w:rFonts w:asciiTheme="majorHAnsi" w:hAnsiTheme="majorHAnsi" w:cstheme="majorHAnsi"/>
                <w:sz w:val="24"/>
                <w:szCs w:val="24"/>
                <w:lang w:val="bs-Latn-BA"/>
              </w:rPr>
              <w:t>Strateški projekt</w:t>
            </w:r>
          </w:p>
        </w:tc>
        <w:tc>
          <w:tcPr>
            <w:tcW w:w="3115" w:type="dxa"/>
          </w:tcPr>
          <w:p w14:paraId="7BF83D33" w14:textId="77777777" w:rsidR="000C0518" w:rsidRPr="00F95CD6" w:rsidRDefault="000C0518" w:rsidP="0075367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sz w:val="24"/>
                <w:szCs w:val="24"/>
                <w:lang w:val="bs-Latn-BA"/>
              </w:rPr>
            </w:pPr>
          </w:p>
        </w:tc>
      </w:tr>
      <w:tr w:rsidR="00DC4ADD" w:rsidRPr="00F95CD6" w14:paraId="783BA8EA" w14:textId="77777777" w:rsidTr="00DC4AD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89" w:type="dxa"/>
          </w:tcPr>
          <w:p w14:paraId="26669946" w14:textId="77777777" w:rsidR="00DC4ADD" w:rsidRPr="00F95CD6" w:rsidRDefault="00DC4ADD" w:rsidP="00753673">
            <w:pPr>
              <w:rPr>
                <w:rFonts w:asciiTheme="majorHAnsi" w:hAnsiTheme="majorHAnsi" w:cstheme="majorHAnsi"/>
                <w:sz w:val="24"/>
                <w:szCs w:val="24"/>
                <w:lang w:val="bs-Latn-BA"/>
              </w:rPr>
            </w:pPr>
            <w:r>
              <w:rPr>
                <w:rFonts w:asciiTheme="majorHAnsi" w:hAnsiTheme="majorHAnsi" w:cstheme="majorHAnsi"/>
                <w:b w:val="0"/>
                <w:bCs w:val="0"/>
                <w:sz w:val="24"/>
                <w:szCs w:val="24"/>
                <w:lang w:val="bs-Latn-BA"/>
              </w:rPr>
              <w:t xml:space="preserve">Naziv strateškog projekta </w:t>
            </w:r>
            <w:r w:rsidRPr="00F95CD6">
              <w:rPr>
                <w:rFonts w:asciiTheme="majorHAnsi" w:hAnsiTheme="majorHAnsi" w:cstheme="majorHAnsi"/>
                <w:b w:val="0"/>
                <w:bCs w:val="0"/>
                <w:sz w:val="24"/>
                <w:szCs w:val="24"/>
                <w:lang w:val="bs-Latn-BA"/>
              </w:rPr>
              <w:t xml:space="preserve"> </w:t>
            </w:r>
          </w:p>
        </w:tc>
        <w:tc>
          <w:tcPr>
            <w:tcW w:w="6951" w:type="dxa"/>
            <w:gridSpan w:val="2"/>
          </w:tcPr>
          <w:p w14:paraId="1E2B251E" w14:textId="02738FF7" w:rsidR="00DC4ADD" w:rsidRPr="00F95CD6" w:rsidRDefault="00DC4ADD" w:rsidP="0075367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lang w:val="bs-Latn-BA"/>
              </w:rPr>
            </w:pPr>
          </w:p>
        </w:tc>
      </w:tr>
      <w:tr w:rsidR="000C0518" w:rsidRPr="00F95CD6" w14:paraId="29DDAA9D" w14:textId="77777777" w:rsidTr="00F86CA5">
        <w:tc>
          <w:tcPr>
            <w:cnfStyle w:val="001000000000" w:firstRow="0" w:lastRow="0" w:firstColumn="1" w:lastColumn="0" w:oddVBand="0" w:evenVBand="0" w:oddHBand="0" w:evenHBand="0" w:firstRowFirstColumn="0" w:firstRowLastColumn="0" w:lastRowFirstColumn="0" w:lastRowLastColumn="0"/>
            <w:tcW w:w="9640" w:type="dxa"/>
            <w:gridSpan w:val="3"/>
          </w:tcPr>
          <w:p w14:paraId="0424065A" w14:textId="24CBA02E" w:rsidR="000C0518" w:rsidRPr="00FD1254" w:rsidRDefault="00FD1254" w:rsidP="00FD1254">
            <w:pPr>
              <w:spacing w:after="120"/>
              <w:rPr>
                <w:rFonts w:asciiTheme="majorHAnsi" w:hAnsiTheme="majorHAnsi" w:cstheme="majorHAnsi"/>
                <w:sz w:val="20"/>
                <w:szCs w:val="20"/>
                <w:lang w:val="bs-Latn-BA"/>
              </w:rPr>
            </w:pPr>
            <w:r w:rsidRPr="00FD1254">
              <w:rPr>
                <w:rFonts w:asciiTheme="majorHAnsi" w:hAnsiTheme="majorHAnsi" w:cstheme="majorHAnsi"/>
                <w:sz w:val="20"/>
                <w:szCs w:val="20"/>
                <w:lang w:val="bs-Latn-BA"/>
              </w:rPr>
              <w:t>Opis strateškog projekta:</w:t>
            </w:r>
          </w:p>
          <w:p w14:paraId="7F8ECC1A" w14:textId="32CCD21D" w:rsidR="00FD1254" w:rsidRPr="00FD1254" w:rsidRDefault="00FD1254" w:rsidP="00FD1254">
            <w:pPr>
              <w:spacing w:after="120"/>
              <w:rPr>
                <w:rFonts w:asciiTheme="majorHAnsi" w:hAnsiTheme="majorHAnsi" w:cstheme="majorHAnsi"/>
                <w:sz w:val="20"/>
                <w:szCs w:val="20"/>
                <w:lang w:val="bs-Latn-BA"/>
              </w:rPr>
            </w:pPr>
            <w:r w:rsidRPr="00FD1254">
              <w:rPr>
                <w:rFonts w:asciiTheme="majorHAnsi" w:hAnsiTheme="majorHAnsi" w:cstheme="majorHAnsi"/>
                <w:sz w:val="20"/>
                <w:szCs w:val="20"/>
                <w:lang w:val="bs-Latn-BA"/>
              </w:rPr>
              <w:t>Očekivani egekat:</w:t>
            </w:r>
          </w:p>
          <w:p w14:paraId="76A56E5C" w14:textId="0381FBB3" w:rsidR="00FD1254" w:rsidRPr="00FD1254" w:rsidRDefault="00FD1254" w:rsidP="00FD1254">
            <w:pPr>
              <w:spacing w:after="120"/>
              <w:rPr>
                <w:rFonts w:asciiTheme="majorHAnsi" w:hAnsiTheme="majorHAnsi" w:cstheme="majorHAnsi"/>
                <w:sz w:val="20"/>
                <w:szCs w:val="20"/>
                <w:lang w:val="bs-Latn-BA"/>
              </w:rPr>
            </w:pPr>
            <w:r w:rsidRPr="00FD1254">
              <w:rPr>
                <w:rFonts w:asciiTheme="majorHAnsi" w:hAnsiTheme="majorHAnsi" w:cstheme="majorHAnsi"/>
                <w:sz w:val="20"/>
                <w:szCs w:val="20"/>
                <w:lang w:val="bs-Latn-BA"/>
              </w:rPr>
              <w:t>Indikativni finansijki okvir:</w:t>
            </w:r>
          </w:p>
          <w:p w14:paraId="75146117" w14:textId="75B10D99" w:rsidR="000C0518" w:rsidRPr="00F95CD6" w:rsidRDefault="000C0518" w:rsidP="00DC4ADD">
            <w:pPr>
              <w:rPr>
                <w:rFonts w:asciiTheme="majorHAnsi" w:hAnsiTheme="majorHAnsi" w:cstheme="majorHAnsi"/>
                <w:b w:val="0"/>
                <w:bCs w:val="0"/>
                <w:sz w:val="24"/>
                <w:szCs w:val="24"/>
                <w:lang w:val="bs-Latn-BA"/>
              </w:rPr>
            </w:pPr>
          </w:p>
        </w:tc>
      </w:tr>
    </w:tbl>
    <w:p w14:paraId="5A30076F" w14:textId="5FA657A0" w:rsidR="00F86CA5" w:rsidRDefault="00F86CA5" w:rsidP="00960A0A">
      <w:pPr>
        <w:tabs>
          <w:tab w:val="left" w:pos="531"/>
        </w:tabs>
        <w:spacing w:after="0" w:line="240" w:lineRule="auto"/>
        <w:rPr>
          <w:rFonts w:asciiTheme="majorHAnsi" w:hAnsiTheme="majorHAnsi" w:cstheme="majorHAnsi"/>
          <w:color w:val="2F5496" w:themeColor="accent1" w:themeShade="BF"/>
          <w:sz w:val="32"/>
          <w:szCs w:val="32"/>
          <w:lang w:val="bs-Latn-BA" w:eastAsia="en-GB"/>
        </w:rPr>
      </w:pPr>
    </w:p>
    <w:p w14:paraId="0B7C90C3" w14:textId="62C6313A" w:rsidR="00FD1254" w:rsidRDefault="00FD1254" w:rsidP="00FD1254">
      <w:pPr>
        <w:rPr>
          <w:lang w:val="bs-Latn-BA" w:eastAsia="en-GB"/>
        </w:rPr>
      </w:pPr>
      <w:r>
        <w:rPr>
          <w:lang w:val="bs-Latn-BA" w:eastAsia="en-GB"/>
        </w:rPr>
        <w:t>Prilikom opisa stratškog projkta koristii se formom opisana 3 strateška projekta:</w:t>
      </w:r>
    </w:p>
    <w:p w14:paraId="69BE4658" w14:textId="77777777" w:rsidR="00FD1254" w:rsidRPr="00C6589B" w:rsidRDefault="00FD1254" w:rsidP="00FD1254">
      <w:pPr>
        <w:rPr>
          <w:lang w:eastAsia="bs-Latn-BA"/>
        </w:rPr>
      </w:pPr>
    </w:p>
    <w:p w14:paraId="439D9BEC" w14:textId="77777777" w:rsidR="00FD1254" w:rsidRPr="00FD1254" w:rsidRDefault="00FD1254" w:rsidP="00FD1254">
      <w:pPr>
        <w:pStyle w:val="Naslov1"/>
      </w:pPr>
      <w:bookmarkStart w:id="1" w:name="_Toc124701390"/>
      <w:r w:rsidRPr="00FD1254">
        <w:t>Strateški projekti</w:t>
      </w:r>
      <w:bookmarkEnd w:id="1"/>
    </w:p>
    <w:p w14:paraId="1073938A" w14:textId="77777777" w:rsidR="00FD1254" w:rsidRPr="00FD1254" w:rsidRDefault="00FD1254" w:rsidP="00FD1254">
      <w:pPr>
        <w:jc w:val="both"/>
        <w:rPr>
          <w:lang w:val="hr-HR" w:eastAsia="hr-HR"/>
        </w:rPr>
      </w:pPr>
      <w:r w:rsidRPr="00FD1254">
        <w:rPr>
          <w:lang w:val="hr-HR" w:eastAsia="hr-HR"/>
        </w:rPr>
        <w:t xml:space="preserve">Uspješnoj implementaciji Strategije razvoja turizma </w:t>
      </w:r>
      <w:proofErr w:type="spellStart"/>
      <w:r w:rsidRPr="00FD1254">
        <w:rPr>
          <w:lang w:val="hr-HR" w:eastAsia="hr-HR"/>
        </w:rPr>
        <w:t>Tuzlasnkog</w:t>
      </w:r>
      <w:proofErr w:type="spellEnd"/>
      <w:r w:rsidRPr="00FD1254">
        <w:rPr>
          <w:lang w:val="hr-HR" w:eastAsia="hr-HR"/>
        </w:rPr>
        <w:t xml:space="preserve"> kantona doprinijeti će i implementacija tri strateška projekata kao intervencija najvećeg značaja za ostvarenje strateških ciljeva. Strateški projekti  imaju višestruki </w:t>
      </w:r>
      <w:proofErr w:type="spellStart"/>
      <w:r w:rsidRPr="00FD1254">
        <w:rPr>
          <w:lang w:val="hr-HR" w:eastAsia="hr-HR"/>
        </w:rPr>
        <w:t>efekat</w:t>
      </w:r>
      <w:proofErr w:type="spellEnd"/>
      <w:r w:rsidRPr="00FD1254">
        <w:rPr>
          <w:lang w:val="hr-HR" w:eastAsia="hr-HR"/>
        </w:rPr>
        <w:t xml:space="preserve"> na razvoj turizma Tuzlanskog kantona, a njihovi rezultati treba da doprinesu održivosti i </w:t>
      </w:r>
      <w:proofErr w:type="spellStart"/>
      <w:r w:rsidRPr="00FD1254">
        <w:rPr>
          <w:lang w:val="hr-HR" w:eastAsia="hr-HR"/>
        </w:rPr>
        <w:t>konkurentosti</w:t>
      </w:r>
      <w:proofErr w:type="spellEnd"/>
      <w:r w:rsidRPr="00FD1254">
        <w:rPr>
          <w:lang w:val="hr-HR" w:eastAsia="hr-HR"/>
        </w:rPr>
        <w:t xml:space="preserve"> turizma kao i ostvarenju razvojnih ciljeva Tuzlanskog </w:t>
      </w:r>
      <w:proofErr w:type="spellStart"/>
      <w:r w:rsidRPr="00FD1254">
        <w:rPr>
          <w:lang w:val="hr-HR" w:eastAsia="hr-HR"/>
        </w:rPr>
        <w:t>kantoana</w:t>
      </w:r>
      <w:proofErr w:type="spellEnd"/>
      <w:r w:rsidRPr="00FD1254">
        <w:rPr>
          <w:lang w:val="hr-HR" w:eastAsia="hr-HR"/>
        </w:rPr>
        <w:t xml:space="preserve"> čije financiranje se predviđa sredstvima Budžeta Tuzlanskog </w:t>
      </w:r>
      <w:proofErr w:type="spellStart"/>
      <w:r w:rsidRPr="00FD1254">
        <w:rPr>
          <w:lang w:val="hr-HR" w:eastAsia="hr-HR"/>
        </w:rPr>
        <w:t>kanotona</w:t>
      </w:r>
      <w:proofErr w:type="spellEnd"/>
      <w:r w:rsidRPr="00FD1254">
        <w:rPr>
          <w:lang w:val="hr-HR" w:eastAsia="hr-HR"/>
        </w:rPr>
        <w:t xml:space="preserve"> i drugim izvorima koji su uključeni su u indikativni financijski okvir.</w:t>
      </w:r>
    </w:p>
    <w:p w14:paraId="3CEFD0B4" w14:textId="77777777" w:rsidR="00FD1254" w:rsidRPr="00FD1254" w:rsidRDefault="00FD1254" w:rsidP="00FD1254">
      <w:pPr>
        <w:jc w:val="both"/>
        <w:rPr>
          <w:lang w:val="hr-HR" w:eastAsia="hr-HR"/>
        </w:rPr>
      </w:pPr>
      <w:r w:rsidRPr="00FD1254">
        <w:rPr>
          <w:lang w:val="hr-HR" w:eastAsia="hr-HR"/>
        </w:rPr>
        <w:t>U nastavku se daje  kratak opis, očekivani efekti i indikativni financijski okvir za  tri strateška projekta kao intervencija najvećeg značaja za ostvarenje strateških ciljeva.</w:t>
      </w:r>
    </w:p>
    <w:p w14:paraId="57264C60" w14:textId="77777777" w:rsidR="00FD1254" w:rsidRPr="00FD1254" w:rsidRDefault="00FD1254" w:rsidP="00FD1254">
      <w:pPr>
        <w:pStyle w:val="Naslov2"/>
      </w:pPr>
      <w:bookmarkStart w:id="2" w:name="_Toc124701391"/>
      <w:r w:rsidRPr="00FD1254">
        <w:lastRenderedPageBreak/>
        <w:t>Strateški projekt 1: U Tuzli na moru, u Tuzlanskom kantonu na odmoru</w:t>
      </w:r>
      <w:bookmarkEnd w:id="2"/>
    </w:p>
    <w:p w14:paraId="734CE78C" w14:textId="77777777" w:rsidR="00FD1254" w:rsidRPr="00FD1254" w:rsidRDefault="00FD1254" w:rsidP="00FD1254">
      <w:pPr>
        <w:spacing w:after="120" w:line="276" w:lineRule="auto"/>
        <w:jc w:val="both"/>
        <w:rPr>
          <w:rFonts w:eastAsia="DengXian Light" w:cs="Calibri"/>
          <w:lang w:val="hr-HR" w:bidi="en-US"/>
        </w:rPr>
      </w:pPr>
      <w:r w:rsidRPr="00FD1254">
        <w:rPr>
          <w:rFonts w:eastAsia="DengXian Light" w:cs="Calibri"/>
          <w:lang w:val="hr-HR" w:bidi="en-US"/>
        </w:rPr>
        <w:t xml:space="preserve">Tuzlanska slana jezera (Panonska jezera), nastala na ostavštini Panonskog mora, jedinstvena su u Evropi kako po salinitetu vode (od 35 do 40 gr/l), lokaciji (centar grada) tako i brojnim lječilišnim svojstvima. Tri slana jezera, sa uređenom obalom, brojnim rekreativnim sadržajima (fitness centar, </w:t>
      </w:r>
      <w:proofErr w:type="spellStart"/>
      <w:r w:rsidRPr="00FD1254">
        <w:rPr>
          <w:rFonts w:eastAsia="DengXian Light" w:cs="Calibri"/>
          <w:lang w:val="hr-HR" w:bidi="en-US"/>
        </w:rPr>
        <w:t>dječiji</w:t>
      </w:r>
      <w:proofErr w:type="spellEnd"/>
      <w:r w:rsidRPr="00FD1254">
        <w:rPr>
          <w:rFonts w:eastAsia="DengXian Light" w:cs="Calibri"/>
          <w:lang w:val="hr-HR" w:bidi="en-US"/>
        </w:rPr>
        <w:t xml:space="preserve"> zabavni park, vodeni tobogani, mamutski šah, šetalište, slapovi), kulturnim sadržajima (neolitsko-sojeničko naselje, muzej sa geološkom postavkom) te bogatom gastronomskom ponudom će pružiti turistima vrhunski ugođaj po pristupačnim cijenama. Panonska jezera predstavljaju primarnu atrakciju, s ciljem privlačenja što većega broja turista, kojima će se nuditi različiti izleti i posjete kulturno-historijskim sadržajima (posjeta kulama Srebrenik i Gradačac, obilazak stećaka na lokalitetima Banovića, </w:t>
      </w:r>
      <w:proofErr w:type="spellStart"/>
      <w:r w:rsidRPr="00FD1254">
        <w:rPr>
          <w:rFonts w:eastAsia="DengXian Light" w:cs="Calibri"/>
          <w:lang w:val="hr-HR" w:bidi="en-US"/>
        </w:rPr>
        <w:t>Živinica</w:t>
      </w:r>
      <w:proofErr w:type="spellEnd"/>
      <w:r w:rsidRPr="00FD1254">
        <w:rPr>
          <w:rFonts w:eastAsia="DengXian Light" w:cs="Calibri"/>
          <w:lang w:val="hr-HR" w:bidi="en-US"/>
        </w:rPr>
        <w:t xml:space="preserve">, </w:t>
      </w:r>
      <w:proofErr w:type="spellStart"/>
      <w:r w:rsidRPr="00FD1254">
        <w:rPr>
          <w:rFonts w:eastAsia="DengXian Light" w:cs="Calibri"/>
          <w:lang w:val="hr-HR" w:bidi="en-US"/>
        </w:rPr>
        <w:t>Kladnja</w:t>
      </w:r>
      <w:proofErr w:type="spellEnd"/>
      <w:r w:rsidRPr="00FD1254">
        <w:rPr>
          <w:rFonts w:eastAsia="DengXian Light" w:cs="Calibri"/>
          <w:lang w:val="hr-HR" w:bidi="en-US"/>
        </w:rPr>
        <w:t xml:space="preserve">, </w:t>
      </w:r>
      <w:proofErr w:type="spellStart"/>
      <w:r w:rsidRPr="00FD1254">
        <w:rPr>
          <w:rFonts w:eastAsia="DengXian Light" w:cs="Calibri"/>
          <w:lang w:val="hr-HR" w:bidi="en-US"/>
        </w:rPr>
        <w:t>Kalesije</w:t>
      </w:r>
      <w:proofErr w:type="spellEnd"/>
      <w:r w:rsidRPr="00FD1254">
        <w:rPr>
          <w:rFonts w:eastAsia="DengXian Light" w:cs="Calibri"/>
          <w:lang w:val="hr-HR" w:bidi="en-US"/>
        </w:rPr>
        <w:t xml:space="preserve">, šoping ture, posjeta manifestacijama, planinarske ture i rekreacija, adrenalinski sportovi, </w:t>
      </w:r>
      <w:proofErr w:type="spellStart"/>
      <w:r w:rsidRPr="00FD1254">
        <w:rPr>
          <w:rFonts w:eastAsia="DengXian Light" w:cs="Calibri"/>
          <w:lang w:val="hr-HR" w:bidi="en-US"/>
        </w:rPr>
        <w:t>speleo</w:t>
      </w:r>
      <w:proofErr w:type="spellEnd"/>
      <w:r w:rsidRPr="00FD1254">
        <w:rPr>
          <w:rFonts w:eastAsia="DengXian Light" w:cs="Calibri"/>
          <w:lang w:val="hr-HR" w:bidi="en-US"/>
        </w:rPr>
        <w:t xml:space="preserve"> turizam, posjeta </w:t>
      </w:r>
      <w:proofErr w:type="spellStart"/>
      <w:r w:rsidRPr="00FD1254">
        <w:rPr>
          <w:rFonts w:eastAsia="DengXian Light" w:cs="Calibri"/>
          <w:lang w:val="hr-HR" w:bidi="en-US"/>
        </w:rPr>
        <w:t>geolokalitetima</w:t>
      </w:r>
      <w:proofErr w:type="spellEnd"/>
      <w:r w:rsidRPr="00FD1254">
        <w:rPr>
          <w:rFonts w:eastAsia="DengXian Light" w:cs="Calibri"/>
          <w:lang w:val="hr-HR" w:bidi="en-US"/>
        </w:rPr>
        <w:t>, zračnim banjama, muzejima, izložbama, vjerski turizam, boravak na seoskom domaćinstvu, učenje novih vještina i sl.</w:t>
      </w:r>
      <w:bookmarkStart w:id="3" w:name="_Hlk120522459"/>
    </w:p>
    <w:p w14:paraId="685BDC8B" w14:textId="77777777" w:rsidR="00FD1254" w:rsidRPr="00FD1254" w:rsidRDefault="00FD1254" w:rsidP="00FD1254">
      <w:pPr>
        <w:spacing w:after="120" w:line="276" w:lineRule="auto"/>
        <w:jc w:val="both"/>
        <w:rPr>
          <w:rFonts w:eastAsia="DengXian Light" w:cs="Calibri"/>
          <w:lang w:val="hr-HR" w:bidi="en-US"/>
        </w:rPr>
      </w:pPr>
      <w:r w:rsidRPr="00FD1254">
        <w:rPr>
          <w:rFonts w:eastAsia="DengXian Light" w:cs="Calibri"/>
          <w:lang w:val="hr-HR" w:bidi="en-US"/>
        </w:rPr>
        <w:t xml:space="preserve">Blizina aerodroma u Tuzli, uz ponudu niskotarifnih letova, omogućava brojnoj dijaspori da odmore provedu u Tuzlanskom kantonu. </w:t>
      </w:r>
      <w:bookmarkEnd w:id="3"/>
      <w:r w:rsidRPr="00FD1254">
        <w:rPr>
          <w:rFonts w:eastAsia="DengXian Light" w:cs="Calibri"/>
          <w:lang w:val="hr-HR" w:bidi="en-US"/>
        </w:rPr>
        <w:t xml:space="preserve">Dijaspora koristi duži ljetni odmor i zimski i više kraćih odmora u toku godine uz izraženi trend odsjedanja u iznajmljenom smještaju i hotelima. Pored dijaspore, veliki broj turista (iz različitih krajeva BiH, Hrvatske i Srbije) jedan dio godišnjeg odmora provodi na Panonskim jezerima u Tuzli dok drugi dio odmora provede na moru. </w:t>
      </w:r>
    </w:p>
    <w:p w14:paraId="2728B5E9" w14:textId="77777777" w:rsidR="00FD1254" w:rsidRPr="00FD1254" w:rsidRDefault="00FD1254" w:rsidP="00FD1254">
      <w:pPr>
        <w:spacing w:after="120" w:line="276" w:lineRule="auto"/>
        <w:jc w:val="both"/>
        <w:rPr>
          <w:rFonts w:eastAsia="DengXian Light" w:cs="Calibri"/>
          <w:lang w:val="hr-HR" w:bidi="en-US"/>
        </w:rPr>
      </w:pPr>
      <w:r w:rsidRPr="00FD1254">
        <w:rPr>
          <w:rFonts w:eastAsia="DengXian Light" w:cs="Calibri"/>
          <w:lang w:val="hr-HR" w:bidi="en-US"/>
        </w:rPr>
        <w:t xml:space="preserve">Za ovaj turistički proizvod bitno je da turističke agencije omoguće integralne turističke aranžmane (od avio prijevoza, transfera, ulaznica te svakodnevnih ekskurzija i izleta) kao i ponudu različitih sadržaja pojedinačnim i grupnim turistima na </w:t>
      </w:r>
      <w:proofErr w:type="spellStart"/>
      <w:r w:rsidRPr="00FD1254">
        <w:rPr>
          <w:rFonts w:eastAsia="DengXian Light" w:cs="Calibri"/>
          <w:lang w:val="hr-HR" w:bidi="en-US"/>
        </w:rPr>
        <w:t>Panonici</w:t>
      </w:r>
      <w:proofErr w:type="spellEnd"/>
      <w:r w:rsidRPr="00FD1254">
        <w:rPr>
          <w:rFonts w:eastAsia="DengXian Light" w:cs="Calibri"/>
          <w:lang w:val="hr-HR" w:bidi="en-US"/>
        </w:rPr>
        <w:t xml:space="preserve"> ka perifernim dijelovima Kantona.</w:t>
      </w:r>
    </w:p>
    <w:p w14:paraId="5FD77752" w14:textId="77777777" w:rsidR="00FD1254" w:rsidRPr="00FD1254" w:rsidRDefault="00FD1254" w:rsidP="00FD1254">
      <w:pPr>
        <w:spacing w:after="120" w:line="276" w:lineRule="auto"/>
        <w:jc w:val="both"/>
        <w:rPr>
          <w:rFonts w:eastAsia="DengXian Light" w:cs="Calibri"/>
          <w:lang w:val="hr-HR" w:bidi="en-US"/>
        </w:rPr>
      </w:pPr>
      <w:r w:rsidRPr="00FD1254">
        <w:rPr>
          <w:rFonts w:eastAsia="Times New Roman" w:cs="Calibri"/>
          <w:b/>
          <w:lang w:val="hr-HR" w:eastAsia="en-GB"/>
        </w:rPr>
        <w:t xml:space="preserve">Očekivani </w:t>
      </w:r>
      <w:proofErr w:type="spellStart"/>
      <w:r w:rsidRPr="00FD1254">
        <w:rPr>
          <w:rFonts w:eastAsia="Times New Roman" w:cs="Calibri"/>
          <w:b/>
          <w:lang w:val="hr-HR" w:eastAsia="en-GB"/>
        </w:rPr>
        <w:t>efekat</w:t>
      </w:r>
      <w:proofErr w:type="spellEnd"/>
      <w:r w:rsidRPr="00FD1254">
        <w:rPr>
          <w:rFonts w:eastAsia="Times New Roman" w:cs="Calibri"/>
          <w:b/>
          <w:lang w:val="hr-HR" w:eastAsia="en-GB"/>
        </w:rPr>
        <w:t>:</w:t>
      </w:r>
      <w:r w:rsidRPr="00FD1254">
        <w:rPr>
          <w:rFonts w:eastAsia="DengXian Light" w:cs="Calibri"/>
          <w:lang w:val="hr-HR" w:bidi="en-US"/>
        </w:rPr>
        <w:t xml:space="preserve"> Realizacija ovog projekta dovesti će do povećanog broja dolaska domaćih i stranih turista. Turistički aranžmani </w:t>
      </w:r>
      <w:r w:rsidRPr="00FD1254">
        <w:rPr>
          <w:rFonts w:eastAsia="DengXian Light" w:cs="Calibri"/>
          <w:i/>
          <w:iCs/>
          <w:lang w:val="hr-HR" w:bidi="en-US"/>
        </w:rPr>
        <w:t>„U Tuzli na moru, u Tuzlanskom kantonu na odmoru“</w:t>
      </w:r>
      <w:r w:rsidRPr="00FD1254">
        <w:rPr>
          <w:rFonts w:eastAsia="DengXian Light" w:cs="Calibri"/>
          <w:lang w:val="hr-HR" w:bidi="en-US"/>
        </w:rPr>
        <w:t xml:space="preserve"> će povezati uslužne djelatnosti (hotelijerstvo, gastronomija, prijevoz - avionski i drumski i trgovinu) te različite oblike turizma (kupališni, sportsko-rekreativni, adrenalinski, zdravstveni, kulturno-historijski, urbani i ruralni, manifestacijski, gastronomski, vjerski...). Omogućit će razvoj komplementarnih sadržaja na udaljenijim lokacijama Tuzlanskog kantona (jezerima, izletištima, kulturno-historijskim objektima i lokalitetima), koji su manje privlačni faktor za turiste. Također, imat će pozitivan </w:t>
      </w:r>
      <w:proofErr w:type="spellStart"/>
      <w:r w:rsidRPr="00FD1254">
        <w:rPr>
          <w:rFonts w:eastAsia="DengXian Light" w:cs="Calibri"/>
          <w:lang w:val="hr-HR" w:bidi="en-US"/>
        </w:rPr>
        <w:t>uticaj</w:t>
      </w:r>
      <w:proofErr w:type="spellEnd"/>
      <w:r w:rsidRPr="00FD1254">
        <w:rPr>
          <w:rFonts w:eastAsia="DengXian Light" w:cs="Calibri"/>
          <w:lang w:val="hr-HR" w:bidi="en-US"/>
        </w:rPr>
        <w:t xml:space="preserve"> na razvoj genealoškog turizma i razvoj Aerodroma Tuzla. Ovaj turistički proizvod je vezan za ljetnu sezonu uz tendenciju produženja.</w:t>
      </w:r>
    </w:p>
    <w:p w14:paraId="68097029" w14:textId="77777777" w:rsidR="00FD1254" w:rsidRPr="00FD1254" w:rsidRDefault="00FD1254" w:rsidP="00FD1254">
      <w:pPr>
        <w:spacing w:after="120" w:line="276" w:lineRule="auto"/>
        <w:jc w:val="both"/>
        <w:rPr>
          <w:rFonts w:eastAsia="DengXian Light" w:cs="Calibri"/>
          <w:lang w:val="hr-HR" w:bidi="en-US"/>
        </w:rPr>
      </w:pPr>
      <w:r w:rsidRPr="00FD1254">
        <w:rPr>
          <w:rFonts w:eastAsia="Times New Roman" w:cs="Calibri"/>
          <w:b/>
          <w:lang w:val="hr-HR" w:eastAsia="en-GB"/>
        </w:rPr>
        <w:t xml:space="preserve">Indikativni </w:t>
      </w:r>
      <w:proofErr w:type="spellStart"/>
      <w:r w:rsidRPr="00FD1254">
        <w:rPr>
          <w:rFonts w:eastAsia="Times New Roman" w:cs="Calibri"/>
          <w:b/>
          <w:lang w:val="hr-HR" w:eastAsia="en-GB"/>
        </w:rPr>
        <w:t>finansijski</w:t>
      </w:r>
      <w:proofErr w:type="spellEnd"/>
      <w:r w:rsidRPr="00FD1254">
        <w:rPr>
          <w:rFonts w:eastAsia="Times New Roman" w:cs="Calibri"/>
          <w:b/>
          <w:lang w:val="hr-HR" w:eastAsia="en-GB"/>
        </w:rPr>
        <w:t xml:space="preserve"> okvir: </w:t>
      </w:r>
      <w:r w:rsidRPr="00FD1254">
        <w:rPr>
          <w:rFonts w:eastAsia="DengXian Light" w:cs="Calibri"/>
          <w:lang w:val="hr-HR" w:bidi="en-US"/>
        </w:rPr>
        <w:t xml:space="preserve">Ukupna vrijednost projekta je procijenjena na 1.500.000 KM od čega će 50% biti </w:t>
      </w:r>
      <w:proofErr w:type="spellStart"/>
      <w:r w:rsidRPr="00FD1254">
        <w:rPr>
          <w:rFonts w:eastAsia="DengXian Light" w:cs="Calibri"/>
          <w:lang w:val="hr-HR" w:bidi="en-US"/>
        </w:rPr>
        <w:t>finansirano</w:t>
      </w:r>
      <w:proofErr w:type="spellEnd"/>
      <w:r w:rsidRPr="00FD1254">
        <w:rPr>
          <w:rFonts w:eastAsia="DengXian Light" w:cs="Calibri"/>
          <w:lang w:val="hr-HR" w:bidi="en-US"/>
        </w:rPr>
        <w:t xml:space="preserve"> iz Budžeta Kantona, a 50% iz ostalih izvora. Od ostalih izvora potrebno je izdvojiti: sredstva općina i gradova, USAID, eu4business, IPA, US </w:t>
      </w:r>
      <w:proofErr w:type="spellStart"/>
      <w:r w:rsidRPr="00FD1254">
        <w:rPr>
          <w:rFonts w:eastAsia="DengXian Light" w:cs="Calibri"/>
          <w:lang w:val="hr-HR" w:bidi="en-US"/>
        </w:rPr>
        <w:t>embassy</w:t>
      </w:r>
      <w:proofErr w:type="spellEnd"/>
      <w:r w:rsidRPr="00FD1254">
        <w:rPr>
          <w:rFonts w:eastAsia="DengXian Light" w:cs="Calibri"/>
          <w:lang w:val="hr-HR" w:bidi="en-US"/>
        </w:rPr>
        <w:t xml:space="preserve"> i druge.</w:t>
      </w:r>
    </w:p>
    <w:p w14:paraId="4D20B9E6" w14:textId="77777777" w:rsidR="00FD1254" w:rsidRPr="00FD1254" w:rsidRDefault="00FD1254" w:rsidP="00FD1254">
      <w:pPr>
        <w:pStyle w:val="Naslov2"/>
        <w:rPr>
          <w:rFonts w:eastAsia="DengXian Light"/>
          <w:lang w:bidi="en-US"/>
        </w:rPr>
      </w:pPr>
      <w:bookmarkStart w:id="4" w:name="_Toc124701392"/>
      <w:r w:rsidRPr="00FD1254">
        <w:t>Strateški projekt 2:</w:t>
      </w:r>
      <w:r w:rsidRPr="00FD1254">
        <w:rPr>
          <w:rFonts w:eastAsia="DengXian Light"/>
          <w:lang w:bidi="en-US"/>
        </w:rPr>
        <w:t xml:space="preserve"> Zima u Tuzlanskom kantonu</w:t>
      </w:r>
      <w:bookmarkEnd w:id="4"/>
    </w:p>
    <w:p w14:paraId="7B8880B2" w14:textId="77777777" w:rsidR="00FD1254" w:rsidRPr="00FD1254" w:rsidRDefault="00FD1254" w:rsidP="00FD1254">
      <w:pPr>
        <w:spacing w:line="276" w:lineRule="auto"/>
        <w:jc w:val="both"/>
        <w:rPr>
          <w:rFonts w:eastAsia="DengXian Light" w:cs="Calibri"/>
          <w:lang w:val="hr-HR" w:bidi="en-US"/>
        </w:rPr>
      </w:pPr>
      <w:r w:rsidRPr="00FD1254">
        <w:rPr>
          <w:rFonts w:eastAsia="DengXian Light" w:cs="Calibri"/>
          <w:lang w:val="hr-HR" w:bidi="en-US"/>
        </w:rPr>
        <w:t xml:space="preserve">Zima u Tuzlanskom kantonu predstavlja turistički proizvod koji uključuje različite manifestacije i aktivnosti u zimskom periodu (najčešće decembar - januar) širom Tuzlanskog kantona. Nekoliko gradova/općina u Tuzlanskom kantonu već tradicionalno organizira zimske manifestacije kao npr. Zima u Tuzli, </w:t>
      </w:r>
      <w:proofErr w:type="spellStart"/>
      <w:r w:rsidRPr="00FD1254">
        <w:rPr>
          <w:rFonts w:eastAsia="DengXian Light" w:cs="Calibri"/>
          <w:lang w:val="hr-HR" w:bidi="en-US"/>
        </w:rPr>
        <w:t>Lukavačka</w:t>
      </w:r>
      <w:proofErr w:type="spellEnd"/>
      <w:r w:rsidRPr="00FD1254">
        <w:rPr>
          <w:rFonts w:eastAsia="DengXian Light" w:cs="Calibri"/>
          <w:lang w:val="hr-HR" w:bidi="en-US"/>
        </w:rPr>
        <w:t xml:space="preserve"> zima, Zima u kraljevskom gradu, Zimski Gradačac, Zima u Gračanici, Zima Živinice itd., a ovu manifestaciju je potrebno pokrenuti i u drugim gradovima/općinama. </w:t>
      </w:r>
    </w:p>
    <w:p w14:paraId="3EBE2C31" w14:textId="77777777" w:rsidR="00FD1254" w:rsidRPr="00FD1254" w:rsidRDefault="00FD1254" w:rsidP="00FD1254">
      <w:pPr>
        <w:spacing w:line="276" w:lineRule="auto"/>
        <w:jc w:val="both"/>
        <w:rPr>
          <w:rFonts w:eastAsia="DengXian Light" w:cs="Calibri"/>
          <w:lang w:val="hr-HR" w:bidi="en-US"/>
        </w:rPr>
      </w:pPr>
      <w:r w:rsidRPr="00FD1254">
        <w:rPr>
          <w:rFonts w:eastAsia="DengXian Light" w:cs="Calibri"/>
          <w:lang w:val="hr-HR" w:bidi="en-US"/>
        </w:rPr>
        <w:lastRenderedPageBreak/>
        <w:t xml:space="preserve">Zima u Tuzlanskom kantonu treba ponuditi različit spektar manifestacija (koncerti na otvorenom, </w:t>
      </w:r>
      <w:proofErr w:type="spellStart"/>
      <w:r w:rsidRPr="00FD1254">
        <w:rPr>
          <w:rFonts w:eastAsia="DengXian Light" w:cs="Calibri"/>
          <w:lang w:val="hr-HR" w:bidi="en-US"/>
        </w:rPr>
        <w:t>pozorište</w:t>
      </w:r>
      <w:proofErr w:type="spellEnd"/>
      <w:r w:rsidRPr="00FD1254">
        <w:rPr>
          <w:rFonts w:eastAsia="DengXian Light" w:cs="Calibri"/>
          <w:lang w:val="hr-HR" w:bidi="en-US"/>
        </w:rPr>
        <w:t xml:space="preserve"> na otvorenom, klizališta, gostovanja KUD-ova, </w:t>
      </w:r>
      <w:proofErr w:type="spellStart"/>
      <w:r w:rsidRPr="00FD1254">
        <w:rPr>
          <w:rFonts w:eastAsia="DengXian Light" w:cs="Calibri"/>
          <w:lang w:val="hr-HR" w:bidi="en-US"/>
        </w:rPr>
        <w:t>horova</w:t>
      </w:r>
      <w:proofErr w:type="spellEnd"/>
      <w:r w:rsidRPr="00FD1254">
        <w:rPr>
          <w:rFonts w:eastAsia="DengXian Light" w:cs="Calibri"/>
          <w:lang w:val="hr-HR" w:bidi="en-US"/>
        </w:rPr>
        <w:t xml:space="preserve">, škole plesa, klizanja, različite radionice za djecu i mlade, takmičenja u kuhanju tradicionalnih jela, igre na snijegu, doček Nove godine i sl.) sa bogatom gastro ponudom, prodajnim punktovima (suveniri, knjige i beletristika, predmeti kućne radinosti, domaći proizvodi od voća, povrća, mesa, meda…) te izložbama umjetnika itd. Planinarske ture prema </w:t>
      </w:r>
      <w:proofErr w:type="spellStart"/>
      <w:r w:rsidRPr="00FD1254">
        <w:rPr>
          <w:rFonts w:eastAsia="DengXian Light" w:cs="Calibri"/>
          <w:lang w:val="hr-HR" w:bidi="en-US"/>
        </w:rPr>
        <w:t>Konjuhu</w:t>
      </w:r>
      <w:proofErr w:type="spellEnd"/>
      <w:r w:rsidRPr="00FD1254">
        <w:rPr>
          <w:rFonts w:eastAsia="DengXian Light" w:cs="Calibri"/>
          <w:lang w:val="hr-HR" w:bidi="en-US"/>
        </w:rPr>
        <w:t xml:space="preserve"> i </w:t>
      </w:r>
      <w:proofErr w:type="spellStart"/>
      <w:r w:rsidRPr="00FD1254">
        <w:rPr>
          <w:rFonts w:eastAsia="DengXian Light" w:cs="Calibri"/>
          <w:lang w:val="hr-HR" w:bidi="en-US"/>
        </w:rPr>
        <w:t>Majevici</w:t>
      </w:r>
      <w:proofErr w:type="spellEnd"/>
      <w:r w:rsidRPr="00FD1254">
        <w:rPr>
          <w:rFonts w:eastAsia="DengXian Light" w:cs="Calibri"/>
          <w:lang w:val="hr-HR" w:bidi="en-US"/>
        </w:rPr>
        <w:t xml:space="preserve">, skijanje na </w:t>
      </w:r>
      <w:proofErr w:type="spellStart"/>
      <w:r w:rsidRPr="00FD1254">
        <w:rPr>
          <w:rFonts w:eastAsia="DengXian Light" w:cs="Calibri"/>
          <w:lang w:val="hr-HR" w:bidi="en-US"/>
        </w:rPr>
        <w:t>Konjuhu</w:t>
      </w:r>
      <w:proofErr w:type="spellEnd"/>
      <w:r w:rsidRPr="00FD1254">
        <w:rPr>
          <w:rFonts w:eastAsia="DengXian Light" w:cs="Calibri"/>
          <w:lang w:val="hr-HR" w:bidi="en-US"/>
        </w:rPr>
        <w:t xml:space="preserve">, rekreativne šetnje po obližnjim uzvišenjima uz organizirane posjete kulturno-historijskom naslijeđu i tradicionalna gastro ponuda u ruralnim područjima, upotpunit će ovaj proizvod. </w:t>
      </w:r>
    </w:p>
    <w:p w14:paraId="20B233A3" w14:textId="77777777" w:rsidR="00FD1254" w:rsidRPr="00FD1254" w:rsidRDefault="00FD1254" w:rsidP="00FD1254">
      <w:pPr>
        <w:spacing w:line="276" w:lineRule="auto"/>
        <w:jc w:val="both"/>
        <w:rPr>
          <w:rFonts w:eastAsia="DengXian Light" w:cs="Calibri"/>
          <w:lang w:val="hr-HR" w:bidi="en-US"/>
        </w:rPr>
      </w:pPr>
      <w:r w:rsidRPr="00FD1254">
        <w:rPr>
          <w:rFonts w:eastAsia="Times New Roman" w:cs="Calibri"/>
          <w:b/>
          <w:lang w:val="hr-HR" w:eastAsia="en-GB"/>
        </w:rPr>
        <w:t xml:space="preserve">Očekivani </w:t>
      </w:r>
      <w:proofErr w:type="spellStart"/>
      <w:r w:rsidRPr="00FD1254">
        <w:rPr>
          <w:rFonts w:eastAsia="Times New Roman" w:cs="Calibri"/>
          <w:b/>
          <w:lang w:val="hr-HR" w:eastAsia="en-GB"/>
        </w:rPr>
        <w:t>efekat</w:t>
      </w:r>
      <w:proofErr w:type="spellEnd"/>
      <w:r w:rsidRPr="00FD1254">
        <w:rPr>
          <w:rFonts w:eastAsia="Times New Roman" w:cs="Calibri"/>
          <w:b/>
          <w:lang w:val="hr-HR" w:eastAsia="en-GB"/>
        </w:rPr>
        <w:t>:</w:t>
      </w:r>
      <w:r w:rsidRPr="00FD1254">
        <w:rPr>
          <w:rFonts w:eastAsia="DengXian Light" w:cs="Calibri"/>
          <w:lang w:val="hr-HR" w:bidi="en-US"/>
        </w:rPr>
        <w:t xml:space="preserve"> Manifestacija “Zima u </w:t>
      </w:r>
      <w:proofErr w:type="spellStart"/>
      <w:r w:rsidRPr="00FD1254">
        <w:rPr>
          <w:rFonts w:eastAsia="DengXian Light" w:cs="Calibri"/>
          <w:lang w:val="hr-HR" w:bidi="en-US"/>
        </w:rPr>
        <w:t>Tuzlankom</w:t>
      </w:r>
      <w:proofErr w:type="spellEnd"/>
      <w:r w:rsidRPr="00FD1254">
        <w:rPr>
          <w:rFonts w:eastAsia="DengXian Light" w:cs="Calibri"/>
          <w:lang w:val="hr-HR" w:bidi="en-US"/>
        </w:rPr>
        <w:t xml:space="preserve"> kantonu” će doprinijeti razvoju gradskog, </w:t>
      </w:r>
      <w:proofErr w:type="spellStart"/>
      <w:r w:rsidRPr="00FD1254">
        <w:rPr>
          <w:rFonts w:eastAsia="DengXian Light" w:cs="Calibri"/>
          <w:lang w:val="hr-HR" w:bidi="en-US"/>
        </w:rPr>
        <w:t>manifestacionog</w:t>
      </w:r>
      <w:proofErr w:type="spellEnd"/>
      <w:r w:rsidRPr="00FD1254">
        <w:rPr>
          <w:rFonts w:eastAsia="DengXian Light" w:cs="Calibri"/>
          <w:lang w:val="hr-HR" w:bidi="en-US"/>
        </w:rPr>
        <w:t>, gastronomskog turizma, sportsko-rekreativnog turizma, vjerskog turizma, genealoškog turizma i dr. Blizina aerodroma u Tuzli, uz ponudu niskotarifnih letova, omogućava brojnoj dijaspori da odmore provedu u Tuzlanskom kantonu, kako u toku ljeta, tako i u zimskom periodu. Zimske manifestacije će učiniti ovaj odmor/boravak sadržajnijim što će produžiti boravak turista i povećati njihovu potrošnju.</w:t>
      </w:r>
    </w:p>
    <w:p w14:paraId="6F73B3E7" w14:textId="77777777" w:rsidR="00FD1254" w:rsidRPr="00FD1254" w:rsidRDefault="00FD1254" w:rsidP="00FD1254">
      <w:pPr>
        <w:spacing w:before="240" w:after="240" w:line="276" w:lineRule="auto"/>
        <w:jc w:val="both"/>
        <w:rPr>
          <w:rFonts w:eastAsia="DengXian Light" w:cs="Calibri"/>
          <w:lang w:val="hr-HR" w:bidi="en-US"/>
        </w:rPr>
      </w:pPr>
      <w:r w:rsidRPr="00FD1254">
        <w:rPr>
          <w:rFonts w:eastAsia="DengXian Light" w:cs="Calibri"/>
          <w:lang w:val="hr-HR" w:bidi="en-US"/>
        </w:rPr>
        <w:t xml:space="preserve">Turistički aranžmani „Zima u Tuzlanskom kantonu“ povezati će uslužne djelatnosti (hotelijerstvo, gastronomija, prijevoz - avionski i drumski, trgovinu) te različite oblike turizma (planinski, zimski, sportsko-rekreativni, adrenalinski, zdravstveni, kulturno-historijski, urbani i ruralni, manifestacijski, gastronomski, vjerski...). Omogućit će razvoj komplementarnih sadržaja na udaljenijim lokacijama Tuzlanskog kantona i šire, imat će pozitivan </w:t>
      </w:r>
      <w:proofErr w:type="spellStart"/>
      <w:r w:rsidRPr="00FD1254">
        <w:rPr>
          <w:rFonts w:eastAsia="DengXian Light" w:cs="Calibri"/>
          <w:lang w:val="hr-HR" w:bidi="en-US"/>
        </w:rPr>
        <w:t>uticaj</w:t>
      </w:r>
      <w:proofErr w:type="spellEnd"/>
      <w:r w:rsidRPr="00FD1254">
        <w:rPr>
          <w:rFonts w:eastAsia="DengXian Light" w:cs="Calibri"/>
          <w:lang w:val="hr-HR" w:bidi="en-US"/>
        </w:rPr>
        <w:t xml:space="preserve"> na razvoj genealoškog turizma i razvoj Aerodroma Tuzla. Ovaj turistički proizvod je vezan za zimsku sezonu uz tendenciju produženja.</w:t>
      </w:r>
    </w:p>
    <w:p w14:paraId="44C98DE4" w14:textId="77777777" w:rsidR="00FD1254" w:rsidRPr="00FD1254" w:rsidRDefault="00FD1254" w:rsidP="00FD1254">
      <w:pPr>
        <w:spacing w:before="240" w:after="240" w:line="276" w:lineRule="auto"/>
        <w:jc w:val="both"/>
        <w:rPr>
          <w:rFonts w:eastAsia="DengXian Light" w:cs="Calibri"/>
          <w:lang w:val="hr-HR" w:bidi="en-US"/>
        </w:rPr>
      </w:pPr>
      <w:r w:rsidRPr="00FD1254">
        <w:rPr>
          <w:rFonts w:eastAsia="Times New Roman" w:cs="Calibri"/>
          <w:b/>
          <w:lang w:val="hr-HR" w:eastAsia="en-GB"/>
        </w:rPr>
        <w:t xml:space="preserve">Indikativni </w:t>
      </w:r>
      <w:proofErr w:type="spellStart"/>
      <w:r w:rsidRPr="00FD1254">
        <w:rPr>
          <w:rFonts w:eastAsia="Times New Roman" w:cs="Calibri"/>
          <w:b/>
          <w:lang w:val="hr-HR" w:eastAsia="en-GB"/>
        </w:rPr>
        <w:t>finansijski</w:t>
      </w:r>
      <w:proofErr w:type="spellEnd"/>
      <w:r w:rsidRPr="00FD1254">
        <w:rPr>
          <w:rFonts w:eastAsia="Times New Roman" w:cs="Calibri"/>
          <w:b/>
          <w:lang w:val="hr-HR" w:eastAsia="en-GB"/>
        </w:rPr>
        <w:t xml:space="preserve"> okvir: </w:t>
      </w:r>
      <w:r w:rsidRPr="00FD1254">
        <w:rPr>
          <w:rFonts w:eastAsia="DengXian Light" w:cs="Calibri"/>
          <w:lang w:val="hr-HR" w:bidi="en-US"/>
        </w:rPr>
        <w:t xml:space="preserve">Ukupna vrijednost projekta je procijenjena na 1.500.000 KM od čega će 50% biti </w:t>
      </w:r>
      <w:proofErr w:type="spellStart"/>
      <w:r w:rsidRPr="00FD1254">
        <w:rPr>
          <w:rFonts w:eastAsia="DengXian Light" w:cs="Calibri"/>
          <w:lang w:val="hr-HR" w:bidi="en-US"/>
        </w:rPr>
        <w:t>finansirano</w:t>
      </w:r>
      <w:proofErr w:type="spellEnd"/>
      <w:r w:rsidRPr="00FD1254">
        <w:rPr>
          <w:rFonts w:eastAsia="DengXian Light" w:cs="Calibri"/>
          <w:lang w:val="hr-HR" w:bidi="en-US"/>
        </w:rPr>
        <w:t xml:space="preserve"> iz Budžeta Kantona, a 50% iz ostalih izvora. Od ostalih izvora potrebno je izdvojiti: sredstva općina i gradova, USAID, eu4business, IPA, US </w:t>
      </w:r>
      <w:proofErr w:type="spellStart"/>
      <w:r w:rsidRPr="00FD1254">
        <w:rPr>
          <w:rFonts w:eastAsia="DengXian Light" w:cs="Calibri"/>
          <w:lang w:val="hr-HR" w:bidi="en-US"/>
        </w:rPr>
        <w:t>embassy</w:t>
      </w:r>
      <w:proofErr w:type="spellEnd"/>
      <w:r w:rsidRPr="00FD1254">
        <w:rPr>
          <w:rFonts w:eastAsia="DengXian Light" w:cs="Calibri"/>
          <w:lang w:val="hr-HR" w:bidi="en-US"/>
        </w:rPr>
        <w:t xml:space="preserve"> i druge.</w:t>
      </w:r>
    </w:p>
    <w:p w14:paraId="0355501B" w14:textId="77777777" w:rsidR="00FD1254" w:rsidRPr="00FD1254" w:rsidRDefault="00FD1254" w:rsidP="00FD1254">
      <w:pPr>
        <w:pStyle w:val="Naslov2"/>
      </w:pPr>
      <w:bookmarkStart w:id="5" w:name="_Toc124701393"/>
      <w:r w:rsidRPr="00FD1254">
        <w:t xml:space="preserve">Strateški projekt 3: </w:t>
      </w:r>
      <w:r w:rsidRPr="00FD1254">
        <w:rPr>
          <w:rFonts w:eastAsia="SimSun"/>
        </w:rPr>
        <w:t>   </w:t>
      </w:r>
      <w:r w:rsidRPr="00FD1254">
        <w:t>Stazama Bosanskih vladara/Srednjovjekovne i etno ceste TK</w:t>
      </w:r>
      <w:bookmarkEnd w:id="5"/>
    </w:p>
    <w:p w14:paraId="7AEEBAFA" w14:textId="77777777" w:rsidR="00FD1254" w:rsidRPr="00FD1254" w:rsidRDefault="00FD1254" w:rsidP="00FD1254">
      <w:pPr>
        <w:spacing w:line="276" w:lineRule="auto"/>
        <w:jc w:val="both"/>
        <w:rPr>
          <w:rFonts w:eastAsia="DengXian Light" w:cs="Calibri"/>
          <w:lang w:val="hr-HR" w:bidi="en-US"/>
        </w:rPr>
      </w:pPr>
      <w:r w:rsidRPr="00FD1254">
        <w:rPr>
          <w:rFonts w:eastAsia="DengXian Light" w:cs="Calibri"/>
          <w:lang w:val="hr-HR" w:bidi="en-US"/>
        </w:rPr>
        <w:t xml:space="preserve">Tuzlanski kanton obiluje kulturno-historijskim naslijeđem iznimne vrijednosti. Radi se o širokom spektru spomeničkog inventara koji pripada kulturnom krugu različitog etničkog i religioznog sistema vrijednosti, koje su na ovom prostoru ostavljale razne civilizacije: Iliri, Kelti, Rimljani, </w:t>
      </w:r>
      <w:proofErr w:type="spellStart"/>
      <w:r w:rsidRPr="00FD1254">
        <w:rPr>
          <w:rFonts w:eastAsia="DengXian Light" w:cs="Calibri"/>
          <w:lang w:val="hr-HR" w:bidi="en-US"/>
        </w:rPr>
        <w:t>Starosloveni</w:t>
      </w:r>
      <w:proofErr w:type="spellEnd"/>
      <w:r w:rsidRPr="00FD1254">
        <w:rPr>
          <w:rFonts w:eastAsia="DengXian Light" w:cs="Calibri"/>
          <w:lang w:val="hr-HR" w:bidi="en-US"/>
        </w:rPr>
        <w:t xml:space="preserve">, </w:t>
      </w:r>
      <w:proofErr w:type="spellStart"/>
      <w:r w:rsidRPr="00FD1254">
        <w:rPr>
          <w:rFonts w:eastAsia="DengXian Light" w:cs="Calibri"/>
          <w:lang w:val="hr-HR" w:bidi="en-US"/>
        </w:rPr>
        <w:t>Bizanti</w:t>
      </w:r>
      <w:proofErr w:type="spellEnd"/>
      <w:r w:rsidRPr="00FD1254">
        <w:rPr>
          <w:rFonts w:eastAsia="DengXian Light" w:cs="Calibri"/>
          <w:lang w:val="hr-HR" w:bidi="en-US"/>
        </w:rPr>
        <w:t xml:space="preserve">, te Otomansko Carstvo, Austrougarska monarhija te ostaci materijalne kulture iz novije historije. U tom kontekstu se mogu razmatrati: arheološka naslijeđa iz prahistorijskog, antičkog i srednjevjekovnog perioda, srednjevjekovni gradovi, stećci, građevine sakralne arhitekture i dr. Ove resurse je potrebno staviti u funkciju turizma i edukacije o kulturno-historijskom naslijeđu. Sve općine i gradovi Tuzlanskog kantona imaju za ponuditi jedinstvene sadržaje (od gradina, nekropola stećaka, velikih kamenih kugli i sl.). </w:t>
      </w:r>
    </w:p>
    <w:p w14:paraId="3387F83E" w14:textId="77777777" w:rsidR="00FD1254" w:rsidRPr="00FD1254" w:rsidRDefault="00FD1254" w:rsidP="00FD1254">
      <w:pPr>
        <w:spacing w:line="276" w:lineRule="auto"/>
        <w:jc w:val="both"/>
        <w:rPr>
          <w:rFonts w:eastAsia="DengXian Light" w:cs="Calibri"/>
          <w:lang w:val="hr-HR" w:bidi="en-US"/>
        </w:rPr>
      </w:pPr>
      <w:r w:rsidRPr="00FD1254">
        <w:rPr>
          <w:rFonts w:eastAsia="DengXian Light" w:cs="Calibri"/>
          <w:lang w:val="hr-HR" w:bidi="en-US"/>
        </w:rPr>
        <w:t xml:space="preserve">Potrebno je </w:t>
      </w:r>
      <w:proofErr w:type="spellStart"/>
      <w:r w:rsidRPr="00FD1254">
        <w:rPr>
          <w:rFonts w:eastAsia="DengXian Light" w:cs="Calibri"/>
          <w:lang w:val="hr-HR" w:bidi="en-US"/>
        </w:rPr>
        <w:t>organizovati</w:t>
      </w:r>
      <w:proofErr w:type="spellEnd"/>
      <w:r w:rsidRPr="00FD1254">
        <w:rPr>
          <w:rFonts w:eastAsia="DengXian Light" w:cs="Calibri"/>
          <w:lang w:val="hr-HR" w:bidi="en-US"/>
        </w:rPr>
        <w:t xml:space="preserve"> više različitih modaliteta uvezanih atrakcija u jednoj kružnoj turi posjete npr. Obilazak tvrđave u Gradačcu, Srebreniku, Gračanici uz boravak na seoskom domaćinstvu sa autohtonom gastro ponudom, učestvovanje u izradi oruđa, nakita i sl., fotografiranje u narodnoj nošnji, oklopu, na konju, učestvovanje u viteškim igrama, plesovima itd., što se može realizirati na primjeru „Put Srebreničke povelje“. Saobraćajne veze između tih atrakcija trebaju biti pretvorene u etno ceste Tuzlanskog kantona koje će na prilaznim putevima pojedinim atrakcijama imati štandove na kojima se prodaju domaći proizvodi, suveniri, ručni radovi, te se nude mjesta za odmor sa karakterističnom gastro ponudom </w:t>
      </w:r>
      <w:r w:rsidRPr="00FD1254">
        <w:rPr>
          <w:rFonts w:eastAsia="DengXian Light" w:cs="Calibri"/>
          <w:lang w:val="hr-HR" w:bidi="en-US"/>
        </w:rPr>
        <w:lastRenderedPageBreak/>
        <w:t xml:space="preserve">Tuzlanskog kantona (zaštititi i </w:t>
      </w:r>
      <w:proofErr w:type="spellStart"/>
      <w:r w:rsidRPr="00FD1254">
        <w:rPr>
          <w:rFonts w:eastAsia="DengXian Light" w:cs="Calibri"/>
          <w:lang w:val="hr-HR" w:bidi="en-US"/>
        </w:rPr>
        <w:t>brendirati</w:t>
      </w:r>
      <w:proofErr w:type="spellEnd"/>
      <w:r w:rsidRPr="00FD1254">
        <w:rPr>
          <w:rFonts w:eastAsia="DengXian Light" w:cs="Calibri"/>
          <w:lang w:val="hr-HR" w:bidi="en-US"/>
        </w:rPr>
        <w:t xml:space="preserve"> Tuzlanski </w:t>
      </w:r>
      <w:proofErr w:type="spellStart"/>
      <w:r w:rsidRPr="00FD1254">
        <w:rPr>
          <w:rFonts w:eastAsia="DengXian Light" w:cs="Calibri"/>
          <w:lang w:val="hr-HR" w:bidi="en-US"/>
        </w:rPr>
        <w:t>poljev</w:t>
      </w:r>
      <w:proofErr w:type="spellEnd"/>
      <w:r w:rsidRPr="00FD1254">
        <w:rPr>
          <w:rFonts w:eastAsia="DengXian Light" w:cs="Calibri"/>
          <w:lang w:val="hr-HR" w:bidi="en-US"/>
        </w:rPr>
        <w:t xml:space="preserve">, kolače od jagoda i šljiva i sl.) na primjeru </w:t>
      </w:r>
      <w:proofErr w:type="spellStart"/>
      <w:r w:rsidRPr="00FD1254">
        <w:rPr>
          <w:rFonts w:eastAsia="DengXian Light" w:cs="Calibri"/>
          <w:lang w:val="hr-HR" w:bidi="en-US"/>
        </w:rPr>
        <w:t>Puračke</w:t>
      </w:r>
      <w:proofErr w:type="spellEnd"/>
      <w:r w:rsidRPr="00FD1254">
        <w:rPr>
          <w:rFonts w:eastAsia="DengXian Light" w:cs="Calibri"/>
          <w:lang w:val="hr-HR" w:bidi="en-US"/>
        </w:rPr>
        <w:t xml:space="preserve"> </w:t>
      </w:r>
      <w:proofErr w:type="spellStart"/>
      <w:r w:rsidRPr="00FD1254">
        <w:rPr>
          <w:rFonts w:eastAsia="DengXian Light" w:cs="Calibri"/>
          <w:lang w:val="hr-HR" w:bidi="en-US"/>
        </w:rPr>
        <w:t>ćaske</w:t>
      </w:r>
      <w:proofErr w:type="spellEnd"/>
      <w:r w:rsidRPr="00FD1254">
        <w:rPr>
          <w:rFonts w:eastAsia="DengXian Light" w:cs="Calibri"/>
          <w:lang w:val="hr-HR" w:bidi="en-US"/>
        </w:rPr>
        <w:t>.</w:t>
      </w:r>
    </w:p>
    <w:p w14:paraId="024B30D4" w14:textId="77777777" w:rsidR="00FD1254" w:rsidRPr="00FD1254" w:rsidRDefault="00FD1254" w:rsidP="00FD1254">
      <w:pPr>
        <w:spacing w:line="276" w:lineRule="auto"/>
        <w:jc w:val="both"/>
        <w:rPr>
          <w:rFonts w:eastAsia="DengXian Light" w:cs="Calibri"/>
          <w:lang w:val="hr-HR" w:bidi="en-US"/>
        </w:rPr>
      </w:pPr>
      <w:r w:rsidRPr="00FD1254">
        <w:rPr>
          <w:rFonts w:eastAsia="DengXian Light" w:cs="Calibri"/>
          <w:b/>
          <w:lang w:val="hr-HR" w:bidi="en-US"/>
        </w:rPr>
        <w:t>Očekivani efekti:</w:t>
      </w:r>
      <w:r w:rsidRPr="00FD1254">
        <w:rPr>
          <w:rFonts w:eastAsia="DengXian Light" w:cs="Calibri"/>
          <w:lang w:val="hr-HR" w:bidi="en-US"/>
        </w:rPr>
        <w:t xml:space="preserve"> Realizacija ovog projekta dovesti će do povećanog broja dolazaka domaćih i stranih turista.  Povezat će se uslužne djelatnosti (hotelijerstvo u urbanim centrima i/ili ruralnom području, gastronomija, prijevoz i trgovina) te različiti oblici turizma (izletnički, kulturno-historijski, ruralni,  gastronomski, obrazovni, manifestacijski itd. ). Potrebno je kreirati jedinstven prepoznatljiv suvenir-pečat Bosanskih vladara koji će se nuditi na etno cestama TK. Ovaj turistički proizvod je vezan za čitavu godinu i naročito je pogodan za razvoj genealoškog turizma. Također, predstavlja odličan obiteljski izlet, škole u prirodi, nastavu na otvorenom, ekskurzije te posjete različitih </w:t>
      </w:r>
      <w:proofErr w:type="spellStart"/>
      <w:r w:rsidRPr="00FD1254">
        <w:rPr>
          <w:rFonts w:eastAsia="DengXian Light" w:cs="Calibri"/>
          <w:lang w:val="hr-HR" w:bidi="en-US"/>
        </w:rPr>
        <w:t>organizovanih</w:t>
      </w:r>
      <w:proofErr w:type="spellEnd"/>
      <w:r w:rsidRPr="00FD1254">
        <w:rPr>
          <w:rFonts w:eastAsia="DengXian Light" w:cs="Calibri"/>
          <w:lang w:val="hr-HR" w:bidi="en-US"/>
        </w:rPr>
        <w:t xml:space="preserve"> grupa. </w:t>
      </w:r>
    </w:p>
    <w:p w14:paraId="199CE160" w14:textId="77777777" w:rsidR="00FD1254" w:rsidRPr="00FD1254" w:rsidRDefault="00FD1254" w:rsidP="00FD1254">
      <w:pPr>
        <w:spacing w:line="276" w:lineRule="auto"/>
        <w:jc w:val="both"/>
        <w:rPr>
          <w:rFonts w:eastAsia="Times New Roman" w:cs="Calibri"/>
          <w:bCs/>
          <w:lang w:val="hr-HR" w:eastAsia="en-GB"/>
        </w:rPr>
      </w:pPr>
      <w:r w:rsidRPr="00FD1254">
        <w:rPr>
          <w:rFonts w:eastAsia="Times New Roman" w:cs="Calibri"/>
          <w:b/>
          <w:lang w:val="hr-HR" w:eastAsia="en-GB"/>
        </w:rPr>
        <w:t xml:space="preserve">Indikativni </w:t>
      </w:r>
      <w:proofErr w:type="spellStart"/>
      <w:r w:rsidRPr="00FD1254">
        <w:rPr>
          <w:rFonts w:eastAsia="Times New Roman" w:cs="Calibri"/>
          <w:b/>
          <w:lang w:val="hr-HR" w:eastAsia="en-GB"/>
        </w:rPr>
        <w:t>finansijski</w:t>
      </w:r>
      <w:proofErr w:type="spellEnd"/>
      <w:r w:rsidRPr="00FD1254">
        <w:rPr>
          <w:rFonts w:eastAsia="Times New Roman" w:cs="Calibri"/>
          <w:b/>
          <w:lang w:val="hr-HR" w:eastAsia="en-GB"/>
        </w:rPr>
        <w:t xml:space="preserve"> okvir: </w:t>
      </w:r>
      <w:r w:rsidRPr="00FD1254">
        <w:rPr>
          <w:rFonts w:eastAsia="Times New Roman" w:cs="Calibri"/>
          <w:bCs/>
          <w:lang w:val="hr-HR" w:eastAsia="en-GB"/>
        </w:rPr>
        <w:t xml:space="preserve">Ukupna vrijednost projekta je procijenjena na 500.000 KM od čega će 50% biti </w:t>
      </w:r>
      <w:proofErr w:type="spellStart"/>
      <w:r w:rsidRPr="00FD1254">
        <w:rPr>
          <w:rFonts w:eastAsia="Times New Roman" w:cs="Calibri"/>
          <w:bCs/>
          <w:lang w:val="hr-HR" w:eastAsia="en-GB"/>
        </w:rPr>
        <w:t>finansirano</w:t>
      </w:r>
      <w:proofErr w:type="spellEnd"/>
      <w:r w:rsidRPr="00FD1254">
        <w:rPr>
          <w:rFonts w:eastAsia="Times New Roman" w:cs="Calibri"/>
          <w:bCs/>
          <w:lang w:val="hr-HR" w:eastAsia="en-GB"/>
        </w:rPr>
        <w:t xml:space="preserve"> iz Budžeta Kantona, a 50% iz ostalih izvora. Od ostalih izvora potrebno je izdvojiti: sredstva općina i gradova, USAID, eu4business, IPA, US </w:t>
      </w:r>
      <w:proofErr w:type="spellStart"/>
      <w:r w:rsidRPr="00FD1254">
        <w:rPr>
          <w:rFonts w:eastAsia="Times New Roman" w:cs="Calibri"/>
          <w:bCs/>
          <w:lang w:val="hr-HR" w:eastAsia="en-GB"/>
        </w:rPr>
        <w:t>embassy</w:t>
      </w:r>
      <w:proofErr w:type="spellEnd"/>
      <w:r w:rsidRPr="00FD1254">
        <w:rPr>
          <w:rFonts w:eastAsia="Times New Roman" w:cs="Calibri"/>
          <w:bCs/>
          <w:lang w:val="hr-HR" w:eastAsia="en-GB"/>
        </w:rPr>
        <w:t xml:space="preserve"> i druge.</w:t>
      </w:r>
    </w:p>
    <w:p w14:paraId="7F41D1AA" w14:textId="77777777" w:rsidR="00FD1254" w:rsidRPr="00F95CD6" w:rsidRDefault="00FD1254" w:rsidP="00FD1254">
      <w:pPr>
        <w:rPr>
          <w:lang w:val="bs-Latn-BA" w:eastAsia="en-GB"/>
        </w:rPr>
      </w:pPr>
    </w:p>
    <w:sectPr w:rsidR="00FD1254" w:rsidRPr="00F95CD6" w:rsidSect="008A122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94E83" w14:textId="77777777" w:rsidR="001F7119" w:rsidRDefault="001F7119" w:rsidP="00EC7C1B">
      <w:pPr>
        <w:spacing w:after="0" w:line="240" w:lineRule="auto"/>
      </w:pPr>
      <w:r>
        <w:separator/>
      </w:r>
    </w:p>
  </w:endnote>
  <w:endnote w:type="continuationSeparator" w:id="0">
    <w:p w14:paraId="06390402" w14:textId="77777777" w:rsidR="001F7119" w:rsidRDefault="001F7119" w:rsidP="00EC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931AC" w14:textId="77777777" w:rsidR="001F7119" w:rsidRDefault="001F7119" w:rsidP="00EC7C1B">
      <w:pPr>
        <w:spacing w:after="0" w:line="240" w:lineRule="auto"/>
      </w:pPr>
      <w:r>
        <w:separator/>
      </w:r>
    </w:p>
  </w:footnote>
  <w:footnote w:type="continuationSeparator" w:id="0">
    <w:p w14:paraId="7FAC489A" w14:textId="77777777" w:rsidR="001F7119" w:rsidRDefault="001F7119" w:rsidP="00EC7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9ED21" w14:textId="1145C8B3" w:rsidR="00EC7C1B" w:rsidRDefault="00E462C9">
    <w:pPr>
      <w:pStyle w:val="Zaglavlje"/>
    </w:pPr>
    <w:r>
      <w:rPr>
        <w:noProof/>
        <w:lang w:val="en-GB" w:eastAsia="en-GB"/>
      </w:rPr>
      <w:drawing>
        <wp:inline distT="0" distB="0" distL="0" distR="0" wp14:anchorId="3D313E04" wp14:editId="1E2B5078">
          <wp:extent cx="409575" cy="455724"/>
          <wp:effectExtent l="0" t="0" r="0" b="1905"/>
          <wp:docPr id="1" name="Picture 1" descr="STRATEGIJA RAZVOJA TUZLANSKOG KANT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RAZVOJA TUZLANSKOG KANT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427" cy="4633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D0A6A"/>
    <w:multiLevelType w:val="hybridMultilevel"/>
    <w:tmpl w:val="52D2D430"/>
    <w:lvl w:ilvl="0" w:tplc="E14E1AE2">
      <w:start w:val="12"/>
      <w:numFmt w:val="bullet"/>
      <w:lvlText w:val="-"/>
      <w:lvlJc w:val="left"/>
      <w:pPr>
        <w:ind w:left="36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BF62C3"/>
    <w:multiLevelType w:val="hybridMultilevel"/>
    <w:tmpl w:val="D6D67C22"/>
    <w:lvl w:ilvl="0" w:tplc="103402A6">
      <w:start w:val="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5444033A"/>
    <w:multiLevelType w:val="hybridMultilevel"/>
    <w:tmpl w:val="A1A849E0"/>
    <w:lvl w:ilvl="0" w:tplc="E14E1AE2">
      <w:start w:val="12"/>
      <w:numFmt w:val="bullet"/>
      <w:lvlText w:val="-"/>
      <w:lvlJc w:val="left"/>
      <w:pPr>
        <w:ind w:left="720" w:hanging="360"/>
      </w:pPr>
      <w:rPr>
        <w:rFonts w:ascii="Calibri Light" w:eastAsiaTheme="minorHAnsi" w:hAnsi="Calibri Light" w:cs="Calibri Ligh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553050A2"/>
    <w:multiLevelType w:val="multilevel"/>
    <w:tmpl w:val="4E186D14"/>
    <w:lvl w:ilvl="0">
      <w:start w:val="12"/>
      <w:numFmt w:val="decimal"/>
      <w:lvlText w:val="%1"/>
      <w:lvlJc w:val="left"/>
      <w:pPr>
        <w:ind w:left="1104" w:hanging="1104"/>
      </w:pPr>
      <w:rPr>
        <w:rFonts w:hint="default"/>
      </w:rPr>
    </w:lvl>
    <w:lvl w:ilvl="1">
      <w:start w:val="15"/>
      <w:numFmt w:val="decimal"/>
      <w:lvlText w:val="%1.%2"/>
      <w:lvlJc w:val="left"/>
      <w:pPr>
        <w:ind w:left="1104" w:hanging="1104"/>
      </w:pPr>
      <w:rPr>
        <w:rFonts w:hint="default"/>
      </w:rPr>
    </w:lvl>
    <w:lvl w:ilvl="2">
      <w:start w:val="12"/>
      <w:numFmt w:val="decimal"/>
      <w:lvlText w:val="%1.%2-%3"/>
      <w:lvlJc w:val="left"/>
      <w:pPr>
        <w:ind w:left="1104" w:hanging="1104"/>
      </w:pPr>
      <w:rPr>
        <w:rFonts w:hint="default"/>
      </w:rPr>
    </w:lvl>
    <w:lvl w:ilvl="3">
      <w:start w:val="30"/>
      <w:numFmt w:val="decimal"/>
      <w:lvlText w:val="%1.%2-%3.%4"/>
      <w:lvlJc w:val="left"/>
      <w:pPr>
        <w:ind w:left="2806" w:hanging="1104"/>
      </w:pPr>
      <w:rPr>
        <w:rFonts w:hint="default"/>
      </w:rPr>
    </w:lvl>
    <w:lvl w:ilvl="4">
      <w:start w:val="1"/>
      <w:numFmt w:val="decimal"/>
      <w:lvlText w:val="%1.%2-%3.%4.%5"/>
      <w:lvlJc w:val="left"/>
      <w:pPr>
        <w:ind w:left="1104" w:hanging="1104"/>
      </w:pPr>
      <w:rPr>
        <w:rFonts w:hint="default"/>
      </w:rPr>
    </w:lvl>
    <w:lvl w:ilvl="5">
      <w:start w:val="1"/>
      <w:numFmt w:val="decimal"/>
      <w:lvlText w:val="%1.%2-%3.%4.%5.%6"/>
      <w:lvlJc w:val="left"/>
      <w:pPr>
        <w:ind w:left="1104" w:hanging="1104"/>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5AC7714"/>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77787BF2"/>
    <w:multiLevelType w:val="hybridMultilevel"/>
    <w:tmpl w:val="8EB8A538"/>
    <w:lvl w:ilvl="0" w:tplc="E14E1AE2">
      <w:start w:val="12"/>
      <w:numFmt w:val="bullet"/>
      <w:lvlText w:val="-"/>
      <w:lvlJc w:val="left"/>
      <w:pPr>
        <w:ind w:left="36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821A60"/>
    <w:multiLevelType w:val="hybridMultilevel"/>
    <w:tmpl w:val="A6045144"/>
    <w:lvl w:ilvl="0" w:tplc="E14E1AE2">
      <w:start w:val="12"/>
      <w:numFmt w:val="bullet"/>
      <w:lvlText w:val="-"/>
      <w:lvlJc w:val="left"/>
      <w:pPr>
        <w:ind w:left="360" w:hanging="360"/>
      </w:pPr>
      <w:rPr>
        <w:rFonts w:ascii="Calibri Light" w:eastAsiaTheme="minorHAnsi"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1B"/>
    <w:rsid w:val="00017436"/>
    <w:rsid w:val="00025ABC"/>
    <w:rsid w:val="00031862"/>
    <w:rsid w:val="0008457E"/>
    <w:rsid w:val="000B0DB8"/>
    <w:rsid w:val="000C0518"/>
    <w:rsid w:val="001400E9"/>
    <w:rsid w:val="00187FBF"/>
    <w:rsid w:val="001D0D8B"/>
    <w:rsid w:val="001E1CA6"/>
    <w:rsid w:val="001F7119"/>
    <w:rsid w:val="002165B7"/>
    <w:rsid w:val="002375C9"/>
    <w:rsid w:val="0024658A"/>
    <w:rsid w:val="002B5C2B"/>
    <w:rsid w:val="002F0E41"/>
    <w:rsid w:val="003411C8"/>
    <w:rsid w:val="003D3636"/>
    <w:rsid w:val="003D4D02"/>
    <w:rsid w:val="003F7BE3"/>
    <w:rsid w:val="004051BB"/>
    <w:rsid w:val="004213EB"/>
    <w:rsid w:val="00493B6A"/>
    <w:rsid w:val="004F3DF9"/>
    <w:rsid w:val="00510F01"/>
    <w:rsid w:val="005251C4"/>
    <w:rsid w:val="00590E38"/>
    <w:rsid w:val="00594E69"/>
    <w:rsid w:val="005A31D0"/>
    <w:rsid w:val="0061535B"/>
    <w:rsid w:val="0063518A"/>
    <w:rsid w:val="006A627F"/>
    <w:rsid w:val="00733441"/>
    <w:rsid w:val="0077452B"/>
    <w:rsid w:val="00796078"/>
    <w:rsid w:val="007B6A9F"/>
    <w:rsid w:val="008309E9"/>
    <w:rsid w:val="00887288"/>
    <w:rsid w:val="008A1226"/>
    <w:rsid w:val="008A57FB"/>
    <w:rsid w:val="008C03CF"/>
    <w:rsid w:val="008F0340"/>
    <w:rsid w:val="008F24AB"/>
    <w:rsid w:val="0090432B"/>
    <w:rsid w:val="00924A6A"/>
    <w:rsid w:val="00952E5E"/>
    <w:rsid w:val="00960A0A"/>
    <w:rsid w:val="00996BEE"/>
    <w:rsid w:val="009B5B23"/>
    <w:rsid w:val="009C0615"/>
    <w:rsid w:val="009C6BBA"/>
    <w:rsid w:val="009D3FDF"/>
    <w:rsid w:val="009E3DD7"/>
    <w:rsid w:val="00A06477"/>
    <w:rsid w:val="00A11C5F"/>
    <w:rsid w:val="00A51CFB"/>
    <w:rsid w:val="00A94D4E"/>
    <w:rsid w:val="00AE59AD"/>
    <w:rsid w:val="00B42DFC"/>
    <w:rsid w:val="00B54421"/>
    <w:rsid w:val="00B6508B"/>
    <w:rsid w:val="00BB61FE"/>
    <w:rsid w:val="00BC4DD1"/>
    <w:rsid w:val="00C67964"/>
    <w:rsid w:val="00CF31D8"/>
    <w:rsid w:val="00D028AF"/>
    <w:rsid w:val="00D14CD1"/>
    <w:rsid w:val="00D6089A"/>
    <w:rsid w:val="00D7314E"/>
    <w:rsid w:val="00D959EE"/>
    <w:rsid w:val="00DC4ADD"/>
    <w:rsid w:val="00E462C9"/>
    <w:rsid w:val="00E51B35"/>
    <w:rsid w:val="00E76E82"/>
    <w:rsid w:val="00EB2952"/>
    <w:rsid w:val="00EB7ED9"/>
    <w:rsid w:val="00EC7C1B"/>
    <w:rsid w:val="00F0445E"/>
    <w:rsid w:val="00F276A0"/>
    <w:rsid w:val="00F86CA5"/>
    <w:rsid w:val="00F95CD6"/>
    <w:rsid w:val="00FA5840"/>
    <w:rsid w:val="00FD1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F368F"/>
  <w15:docId w15:val="{5FED9B71-EF00-4669-B7CA-E5A1E8A7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226"/>
  </w:style>
  <w:style w:type="paragraph" w:styleId="Naslov1">
    <w:name w:val="heading 1"/>
    <w:basedOn w:val="Normal"/>
    <w:next w:val="Normal"/>
    <w:link w:val="Naslov1Char"/>
    <w:uiPriority w:val="9"/>
    <w:qFormat/>
    <w:rsid w:val="00FD1254"/>
    <w:pPr>
      <w:keepNext/>
      <w:numPr>
        <w:numId w:val="7"/>
      </w:numPr>
      <w:spacing w:before="240" w:after="60" w:line="240" w:lineRule="auto"/>
      <w:jc w:val="both"/>
      <w:outlineLvl w:val="0"/>
    </w:pPr>
    <w:rPr>
      <w:rFonts w:ascii="Calibri" w:eastAsia="Calibri" w:hAnsi="Calibri" w:cs="Times New Roman"/>
      <w:b/>
      <w:bCs/>
      <w:color w:val="006600"/>
      <w:kern w:val="32"/>
      <w:sz w:val="28"/>
      <w:szCs w:val="32"/>
      <w:lang w:val="hr-HR" w:eastAsia="hr-HR"/>
    </w:rPr>
  </w:style>
  <w:style w:type="paragraph" w:styleId="Naslov2">
    <w:name w:val="heading 2"/>
    <w:basedOn w:val="Normal"/>
    <w:next w:val="Normal"/>
    <w:link w:val="Naslov2Char"/>
    <w:uiPriority w:val="9"/>
    <w:qFormat/>
    <w:rsid w:val="00FD1254"/>
    <w:pPr>
      <w:keepNext/>
      <w:numPr>
        <w:ilvl w:val="1"/>
        <w:numId w:val="7"/>
      </w:numPr>
      <w:spacing w:before="240" w:after="240" w:line="240" w:lineRule="auto"/>
      <w:jc w:val="both"/>
      <w:outlineLvl w:val="1"/>
    </w:pPr>
    <w:rPr>
      <w:rFonts w:ascii="Calibri" w:eastAsia="Calibri" w:hAnsi="Calibri" w:cs="Calibri Light"/>
      <w:b/>
      <w:color w:val="006600"/>
      <w:sz w:val="24"/>
      <w:szCs w:val="28"/>
      <w:lang w:val="hr-HR" w:eastAsia="hr-HR"/>
    </w:rPr>
  </w:style>
  <w:style w:type="paragraph" w:styleId="Naslov3">
    <w:name w:val="heading 3"/>
    <w:basedOn w:val="Normal"/>
    <w:next w:val="Normal"/>
    <w:link w:val="Naslov3Char"/>
    <w:uiPriority w:val="9"/>
    <w:qFormat/>
    <w:rsid w:val="00FD1254"/>
    <w:pPr>
      <w:keepNext/>
      <w:keepLines/>
      <w:numPr>
        <w:ilvl w:val="2"/>
        <w:numId w:val="7"/>
      </w:numPr>
      <w:spacing w:before="120" w:after="120" w:line="240" w:lineRule="auto"/>
      <w:jc w:val="both"/>
      <w:outlineLvl w:val="2"/>
    </w:pPr>
    <w:rPr>
      <w:rFonts w:ascii="Calibri" w:hAnsi="Calibri" w:cs="Times New Roman"/>
      <w:b/>
      <w:bCs/>
      <w:color w:val="006600"/>
      <w:sz w:val="24"/>
      <w:szCs w:val="24"/>
      <w:lang w:val="bs-Latn-BA" w:eastAsia="hr-HR"/>
    </w:rPr>
  </w:style>
  <w:style w:type="paragraph" w:styleId="Naslov4">
    <w:name w:val="heading 4"/>
    <w:basedOn w:val="Normal"/>
    <w:next w:val="Normal"/>
    <w:link w:val="Naslov4Char"/>
    <w:uiPriority w:val="9"/>
    <w:qFormat/>
    <w:rsid w:val="00FD1254"/>
    <w:pPr>
      <w:keepNext/>
      <w:keepLines/>
      <w:numPr>
        <w:ilvl w:val="3"/>
        <w:numId w:val="7"/>
      </w:numPr>
      <w:spacing w:before="200" w:after="0" w:line="276" w:lineRule="auto"/>
      <w:jc w:val="both"/>
      <w:outlineLvl w:val="3"/>
    </w:pPr>
    <w:rPr>
      <w:rFonts w:ascii="Calibri Light" w:eastAsia="Calibri" w:hAnsi="Calibri Light" w:cs="Times New Roman"/>
      <w:b/>
      <w:bCs/>
      <w:iCs/>
      <w:color w:val="A5A5A5" w:themeColor="accent3"/>
      <w:lang w:val="hr-HR" w:eastAsia="hr-HR"/>
    </w:rPr>
  </w:style>
  <w:style w:type="paragraph" w:styleId="Naslov5">
    <w:name w:val="heading 5"/>
    <w:basedOn w:val="Normal"/>
    <w:next w:val="Normal"/>
    <w:link w:val="Naslov5Char"/>
    <w:uiPriority w:val="9"/>
    <w:qFormat/>
    <w:rsid w:val="00FD1254"/>
    <w:pPr>
      <w:keepNext/>
      <w:keepLines/>
      <w:numPr>
        <w:ilvl w:val="4"/>
        <w:numId w:val="7"/>
      </w:numPr>
      <w:spacing w:before="200" w:after="0" w:line="240" w:lineRule="auto"/>
      <w:jc w:val="both"/>
      <w:outlineLvl w:val="4"/>
    </w:pPr>
    <w:rPr>
      <w:rFonts w:ascii="Calibri Light" w:eastAsia="Calibri" w:hAnsi="Calibri Light" w:cs="Times New Roman"/>
      <w:color w:val="1F4D78"/>
      <w:sz w:val="24"/>
      <w:szCs w:val="24"/>
      <w:lang w:val="hr-HR" w:eastAsia="hr-HR"/>
    </w:rPr>
  </w:style>
  <w:style w:type="paragraph" w:styleId="Naslov6">
    <w:name w:val="heading 6"/>
    <w:basedOn w:val="Normal"/>
    <w:next w:val="Normal"/>
    <w:link w:val="Naslov6Char"/>
    <w:uiPriority w:val="9"/>
    <w:qFormat/>
    <w:rsid w:val="00FD1254"/>
    <w:pPr>
      <w:keepNext/>
      <w:keepLines/>
      <w:numPr>
        <w:ilvl w:val="5"/>
        <w:numId w:val="7"/>
      </w:numPr>
      <w:spacing w:before="200" w:after="0" w:line="240" w:lineRule="auto"/>
      <w:jc w:val="both"/>
      <w:outlineLvl w:val="5"/>
    </w:pPr>
    <w:rPr>
      <w:rFonts w:ascii="Calibri Light" w:eastAsia="Calibri" w:hAnsi="Calibri Light" w:cs="Times New Roman"/>
      <w:i/>
      <w:iCs/>
      <w:color w:val="1F4D78"/>
      <w:sz w:val="24"/>
      <w:szCs w:val="24"/>
      <w:lang w:val="hr-HR" w:eastAsia="hr-HR"/>
    </w:rPr>
  </w:style>
  <w:style w:type="paragraph" w:styleId="Naslov7">
    <w:name w:val="heading 7"/>
    <w:basedOn w:val="Normal"/>
    <w:next w:val="Normal"/>
    <w:link w:val="Naslov7Char"/>
    <w:uiPriority w:val="9"/>
    <w:qFormat/>
    <w:rsid w:val="00FD1254"/>
    <w:pPr>
      <w:keepNext/>
      <w:keepLines/>
      <w:numPr>
        <w:ilvl w:val="6"/>
        <w:numId w:val="7"/>
      </w:numPr>
      <w:spacing w:before="200" w:after="0" w:line="240" w:lineRule="auto"/>
      <w:jc w:val="both"/>
      <w:outlineLvl w:val="6"/>
    </w:pPr>
    <w:rPr>
      <w:rFonts w:ascii="Calibri Light" w:eastAsia="Calibri" w:hAnsi="Calibri Light" w:cs="Times New Roman"/>
      <w:i/>
      <w:iCs/>
      <w:color w:val="404040"/>
      <w:sz w:val="24"/>
      <w:szCs w:val="24"/>
      <w:lang w:val="hr-HR" w:eastAsia="hr-HR"/>
    </w:rPr>
  </w:style>
  <w:style w:type="paragraph" w:styleId="Naslov8">
    <w:name w:val="heading 8"/>
    <w:basedOn w:val="Normal"/>
    <w:next w:val="Normal"/>
    <w:link w:val="Naslov8Char"/>
    <w:uiPriority w:val="9"/>
    <w:qFormat/>
    <w:rsid w:val="00FD1254"/>
    <w:pPr>
      <w:keepNext/>
      <w:keepLines/>
      <w:numPr>
        <w:ilvl w:val="7"/>
        <w:numId w:val="7"/>
      </w:numPr>
      <w:spacing w:before="200" w:after="0" w:line="240" w:lineRule="auto"/>
      <w:jc w:val="both"/>
      <w:outlineLvl w:val="7"/>
    </w:pPr>
    <w:rPr>
      <w:rFonts w:ascii="Calibri Light" w:eastAsia="Calibri" w:hAnsi="Calibri Light" w:cs="Times New Roman"/>
      <w:color w:val="404040"/>
      <w:sz w:val="20"/>
      <w:szCs w:val="20"/>
      <w:lang w:val="hr-HR" w:eastAsia="hr-HR"/>
    </w:rPr>
  </w:style>
  <w:style w:type="paragraph" w:styleId="Naslov9">
    <w:name w:val="heading 9"/>
    <w:basedOn w:val="Normal"/>
    <w:next w:val="Normal"/>
    <w:link w:val="Naslov9Char"/>
    <w:uiPriority w:val="9"/>
    <w:qFormat/>
    <w:rsid w:val="00FD1254"/>
    <w:pPr>
      <w:keepNext/>
      <w:keepLines/>
      <w:numPr>
        <w:ilvl w:val="8"/>
        <w:numId w:val="7"/>
      </w:numPr>
      <w:spacing w:before="200" w:after="0" w:line="240" w:lineRule="auto"/>
      <w:jc w:val="both"/>
      <w:outlineLvl w:val="8"/>
    </w:pPr>
    <w:rPr>
      <w:rFonts w:ascii="Calibri Light" w:eastAsia="Calibri" w:hAnsi="Calibri Light" w:cs="Times New Roman"/>
      <w:i/>
      <w:iCs/>
      <w:color w:val="404040"/>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7C1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EC7C1B"/>
  </w:style>
  <w:style w:type="paragraph" w:styleId="Podnoje">
    <w:name w:val="footer"/>
    <w:basedOn w:val="Normal"/>
    <w:link w:val="PodnojeChar"/>
    <w:uiPriority w:val="99"/>
    <w:unhideWhenUsed/>
    <w:rsid w:val="00EC7C1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EC7C1B"/>
  </w:style>
  <w:style w:type="table" w:styleId="Reetkatablice">
    <w:name w:val="Table Grid"/>
    <w:basedOn w:val="Obinatablica"/>
    <w:uiPriority w:val="39"/>
    <w:rsid w:val="00EC7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Obinatablica"/>
    <w:uiPriority w:val="49"/>
    <w:rsid w:val="00996B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Odlomakpopisa">
    <w:name w:val="List Paragraph"/>
    <w:basedOn w:val="Normal"/>
    <w:uiPriority w:val="34"/>
    <w:qFormat/>
    <w:rsid w:val="00996BEE"/>
    <w:pPr>
      <w:ind w:left="720"/>
      <w:contextualSpacing/>
    </w:pPr>
  </w:style>
  <w:style w:type="table" w:styleId="Tablicareetke4-isticanje6">
    <w:name w:val="Grid Table 4 Accent 6"/>
    <w:basedOn w:val="Obinatablica"/>
    <w:uiPriority w:val="49"/>
    <w:rsid w:val="000C0518"/>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reetke4-isticanje5">
    <w:name w:val="Grid Table 4 Accent 5"/>
    <w:basedOn w:val="Obinatablica"/>
    <w:uiPriority w:val="49"/>
    <w:rsid w:val="000C051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aslov1Char">
    <w:name w:val="Naslov 1 Char"/>
    <w:basedOn w:val="Zadanifontodlomka"/>
    <w:link w:val="Naslov1"/>
    <w:uiPriority w:val="9"/>
    <w:qFormat/>
    <w:rsid w:val="00FD1254"/>
    <w:rPr>
      <w:rFonts w:ascii="Calibri" w:eastAsia="Calibri" w:hAnsi="Calibri" w:cs="Times New Roman"/>
      <w:b/>
      <w:bCs/>
      <w:color w:val="006600"/>
      <w:kern w:val="32"/>
      <w:sz w:val="28"/>
      <w:szCs w:val="32"/>
      <w:lang w:val="hr-HR" w:eastAsia="hr-HR"/>
    </w:rPr>
  </w:style>
  <w:style w:type="character" w:customStyle="1" w:styleId="Naslov2Char">
    <w:name w:val="Naslov 2 Char"/>
    <w:basedOn w:val="Zadanifontodlomka"/>
    <w:link w:val="Naslov2"/>
    <w:uiPriority w:val="9"/>
    <w:qFormat/>
    <w:rsid w:val="00FD1254"/>
    <w:rPr>
      <w:rFonts w:ascii="Calibri" w:eastAsia="Calibri" w:hAnsi="Calibri" w:cs="Calibri Light"/>
      <w:b/>
      <w:color w:val="006600"/>
      <w:sz w:val="24"/>
      <w:szCs w:val="28"/>
      <w:lang w:val="hr-HR" w:eastAsia="hr-HR"/>
    </w:rPr>
  </w:style>
  <w:style w:type="character" w:customStyle="1" w:styleId="Naslov3Char">
    <w:name w:val="Naslov 3 Char"/>
    <w:basedOn w:val="Zadanifontodlomka"/>
    <w:link w:val="Naslov3"/>
    <w:uiPriority w:val="9"/>
    <w:rsid w:val="00FD1254"/>
    <w:rPr>
      <w:rFonts w:ascii="Calibri" w:hAnsi="Calibri" w:cs="Times New Roman"/>
      <w:b/>
      <w:bCs/>
      <w:color w:val="006600"/>
      <w:sz w:val="24"/>
      <w:szCs w:val="24"/>
      <w:lang w:val="bs-Latn-BA" w:eastAsia="hr-HR"/>
    </w:rPr>
  </w:style>
  <w:style w:type="character" w:customStyle="1" w:styleId="Naslov4Char">
    <w:name w:val="Naslov 4 Char"/>
    <w:basedOn w:val="Zadanifontodlomka"/>
    <w:link w:val="Naslov4"/>
    <w:uiPriority w:val="9"/>
    <w:rsid w:val="00FD1254"/>
    <w:rPr>
      <w:rFonts w:ascii="Calibri Light" w:eastAsia="Calibri" w:hAnsi="Calibri Light" w:cs="Times New Roman"/>
      <w:b/>
      <w:bCs/>
      <w:iCs/>
      <w:color w:val="A5A5A5" w:themeColor="accent3"/>
      <w:lang w:val="hr-HR" w:eastAsia="hr-HR"/>
    </w:rPr>
  </w:style>
  <w:style w:type="character" w:customStyle="1" w:styleId="Naslov5Char">
    <w:name w:val="Naslov 5 Char"/>
    <w:basedOn w:val="Zadanifontodlomka"/>
    <w:link w:val="Naslov5"/>
    <w:uiPriority w:val="9"/>
    <w:rsid w:val="00FD1254"/>
    <w:rPr>
      <w:rFonts w:ascii="Calibri Light" w:eastAsia="Calibri" w:hAnsi="Calibri Light" w:cs="Times New Roman"/>
      <w:color w:val="1F4D78"/>
      <w:sz w:val="24"/>
      <w:szCs w:val="24"/>
      <w:lang w:val="hr-HR" w:eastAsia="hr-HR"/>
    </w:rPr>
  </w:style>
  <w:style w:type="character" w:customStyle="1" w:styleId="Naslov6Char">
    <w:name w:val="Naslov 6 Char"/>
    <w:basedOn w:val="Zadanifontodlomka"/>
    <w:link w:val="Naslov6"/>
    <w:uiPriority w:val="9"/>
    <w:rsid w:val="00FD1254"/>
    <w:rPr>
      <w:rFonts w:ascii="Calibri Light" w:eastAsia="Calibri" w:hAnsi="Calibri Light" w:cs="Times New Roman"/>
      <w:i/>
      <w:iCs/>
      <w:color w:val="1F4D78"/>
      <w:sz w:val="24"/>
      <w:szCs w:val="24"/>
      <w:lang w:val="hr-HR" w:eastAsia="hr-HR"/>
    </w:rPr>
  </w:style>
  <w:style w:type="character" w:customStyle="1" w:styleId="Naslov7Char">
    <w:name w:val="Naslov 7 Char"/>
    <w:basedOn w:val="Zadanifontodlomka"/>
    <w:link w:val="Naslov7"/>
    <w:uiPriority w:val="9"/>
    <w:rsid w:val="00FD1254"/>
    <w:rPr>
      <w:rFonts w:ascii="Calibri Light" w:eastAsia="Calibri" w:hAnsi="Calibri Light" w:cs="Times New Roman"/>
      <w:i/>
      <w:iCs/>
      <w:color w:val="404040"/>
      <w:sz w:val="24"/>
      <w:szCs w:val="24"/>
      <w:lang w:val="hr-HR" w:eastAsia="hr-HR"/>
    </w:rPr>
  </w:style>
  <w:style w:type="character" w:customStyle="1" w:styleId="Naslov8Char">
    <w:name w:val="Naslov 8 Char"/>
    <w:basedOn w:val="Zadanifontodlomka"/>
    <w:link w:val="Naslov8"/>
    <w:uiPriority w:val="9"/>
    <w:rsid w:val="00FD1254"/>
    <w:rPr>
      <w:rFonts w:ascii="Calibri Light" w:eastAsia="Calibri" w:hAnsi="Calibri Light" w:cs="Times New Roman"/>
      <w:color w:val="404040"/>
      <w:sz w:val="20"/>
      <w:szCs w:val="20"/>
      <w:lang w:val="hr-HR" w:eastAsia="hr-HR"/>
    </w:rPr>
  </w:style>
  <w:style w:type="character" w:customStyle="1" w:styleId="Naslov9Char">
    <w:name w:val="Naslov 9 Char"/>
    <w:basedOn w:val="Zadanifontodlomka"/>
    <w:link w:val="Naslov9"/>
    <w:uiPriority w:val="9"/>
    <w:rsid w:val="00FD1254"/>
    <w:rPr>
      <w:rFonts w:ascii="Calibri Light" w:eastAsia="Calibri" w:hAnsi="Calibri Light" w:cs="Times New Roman"/>
      <w:i/>
      <w:iCs/>
      <w:color w:val="404040"/>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8174</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Omerovic IMPAKT</dc:creator>
  <cp:keywords/>
  <dc:description/>
  <cp:lastModifiedBy>Microsoftov račun</cp:lastModifiedBy>
  <cp:revision>2</cp:revision>
  <dcterms:created xsi:type="dcterms:W3CDTF">2023-01-23T08:34:00Z</dcterms:created>
  <dcterms:modified xsi:type="dcterms:W3CDTF">2023-01-23T08:34:00Z</dcterms:modified>
</cp:coreProperties>
</file>